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3.xml" ContentType="application/vnd.openxmlformats-officedocument.wordprocessingml.header+xml"/>
  <Override PartName="/docProps/custom.xml" ContentType="application/vnd.openxmlformats-officedocument.custom-properties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845D6" w14:textId="48303F61" w:rsidR="006E062F" w:rsidRPr="006E062F" w:rsidRDefault="006E062F" w:rsidP="006E062F">
      <w:pPr>
        <w:spacing w:after="0"/>
        <w:jc w:val="center"/>
        <w:rPr>
          <w:rFonts w:eastAsia="Calibri" w:cs="Arial"/>
          <w:b/>
        </w:rPr>
      </w:pPr>
      <w:bookmarkStart w:id="0" w:name="_GoBack"/>
      <w:bookmarkEnd w:id="0"/>
      <w:r w:rsidRPr="006E062F">
        <w:rPr>
          <w:rFonts w:eastAsia="Calibri" w:cs="Arial"/>
          <w:b/>
        </w:rPr>
        <w:t>PROJECT NO. 5</w:t>
      </w:r>
      <w:r>
        <w:rPr>
          <w:rFonts w:eastAsia="Calibri" w:cs="Arial"/>
          <w:b/>
        </w:rPr>
        <w:t>2</w:t>
      </w:r>
      <w:r w:rsidR="00CB719B">
        <w:rPr>
          <w:rFonts w:eastAsia="Calibri" w:cs="Arial"/>
          <w:b/>
        </w:rPr>
        <w:t>287</w:t>
      </w:r>
    </w:p>
    <w:p w14:paraId="6BABE281" w14:textId="77777777" w:rsidR="006E062F" w:rsidRPr="006E062F" w:rsidRDefault="006E062F" w:rsidP="006E062F">
      <w:pPr>
        <w:spacing w:after="0"/>
        <w:jc w:val="center"/>
        <w:rPr>
          <w:rFonts w:eastAsia="Calibri" w:cs="Arial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8"/>
        <w:gridCol w:w="270"/>
        <w:gridCol w:w="4680"/>
      </w:tblGrid>
      <w:tr w:rsidR="00A93232" w14:paraId="05BB9A2F" w14:textId="77777777" w:rsidTr="00DA5F6C">
        <w:tc>
          <w:tcPr>
            <w:tcW w:w="4518" w:type="dxa"/>
          </w:tcPr>
          <w:p w14:paraId="46771BF9" w14:textId="714C45FA" w:rsidR="00A93232" w:rsidRPr="009B4A0E" w:rsidRDefault="00A93232" w:rsidP="00A93232">
            <w:pPr>
              <w:tabs>
                <w:tab w:val="left" w:pos="5040"/>
              </w:tabs>
              <w:ind w:right="-86"/>
              <w:jc w:val="left"/>
              <w:rPr>
                <w:b/>
              </w:rPr>
            </w:pPr>
            <w:r>
              <w:rPr>
                <w:b/>
              </w:rPr>
              <w:t>POWER OUTAGE ALERT CRITERIA</w:t>
            </w:r>
          </w:p>
        </w:tc>
        <w:tc>
          <w:tcPr>
            <w:tcW w:w="270" w:type="dxa"/>
          </w:tcPr>
          <w:p w14:paraId="0EDBDDC2" w14:textId="19853770" w:rsidR="00A93232" w:rsidRDefault="00A93232" w:rsidP="00A93232">
            <w:pPr>
              <w:tabs>
                <w:tab w:val="left" w:pos="5040"/>
              </w:tabs>
              <w:ind w:right="-86"/>
              <w:jc w:val="left"/>
              <w:rPr>
                <w:b/>
              </w:rPr>
            </w:pPr>
            <w:r>
              <w:rPr>
                <w:b/>
              </w:rPr>
              <w:t>§§§</w:t>
            </w:r>
          </w:p>
        </w:tc>
        <w:tc>
          <w:tcPr>
            <w:tcW w:w="4680" w:type="dxa"/>
          </w:tcPr>
          <w:p w14:paraId="26B51D49" w14:textId="77777777" w:rsidR="00A93232" w:rsidRDefault="00A93232" w:rsidP="00A93232">
            <w:pPr>
              <w:tabs>
                <w:tab w:val="left" w:pos="5040"/>
              </w:tabs>
              <w:spacing w:after="0"/>
              <w:ind w:right="-86"/>
              <w:jc w:val="center"/>
              <w:rPr>
                <w:b/>
              </w:rPr>
            </w:pPr>
            <w:r>
              <w:rPr>
                <w:b/>
              </w:rPr>
              <w:t>BEFORE THE</w:t>
            </w:r>
          </w:p>
          <w:p w14:paraId="4B89EFA6" w14:textId="33E45D34" w:rsidR="00A93232" w:rsidRDefault="00A93232" w:rsidP="00A93232">
            <w:pPr>
              <w:tabs>
                <w:tab w:val="left" w:pos="5040"/>
              </w:tabs>
              <w:ind w:right="-86"/>
              <w:jc w:val="center"/>
              <w:rPr>
                <w:b/>
              </w:rPr>
            </w:pPr>
            <w:r>
              <w:rPr>
                <w:b/>
              </w:rPr>
              <w:t>PUBLIC UTILITY COMMISSION OF TEXAS</w:t>
            </w:r>
          </w:p>
        </w:tc>
      </w:tr>
    </w:tbl>
    <w:p w14:paraId="4AAEDCEB" w14:textId="77777777" w:rsidR="00A93232" w:rsidRDefault="006E062F" w:rsidP="006E062F">
      <w:pPr>
        <w:tabs>
          <w:tab w:val="left" w:pos="4680"/>
        </w:tabs>
        <w:spacing w:after="0"/>
        <w:jc w:val="center"/>
        <w:rPr>
          <w:b/>
        </w:rPr>
      </w:pPr>
      <w:bookmarkStart w:id="1" w:name="_Hlk20137566"/>
      <w:bookmarkStart w:id="2" w:name="_Hlk44338704"/>
      <w:r w:rsidRPr="006E062F">
        <w:rPr>
          <w:b/>
        </w:rPr>
        <w:t xml:space="preserve">ONCOR ELECTRIC DELIVERY COMPANY LLC’S </w:t>
      </w:r>
      <w:bookmarkEnd w:id="1"/>
      <w:bookmarkEnd w:id="2"/>
    </w:p>
    <w:p w14:paraId="1F501BA8" w14:textId="7E716AA8" w:rsidR="006E062F" w:rsidRPr="00A93232" w:rsidRDefault="006E062F" w:rsidP="006E062F">
      <w:pPr>
        <w:tabs>
          <w:tab w:val="left" w:pos="4680"/>
        </w:tabs>
        <w:spacing w:after="0"/>
        <w:jc w:val="center"/>
        <w:rPr>
          <w:b/>
          <w:u w:val="single"/>
        </w:rPr>
      </w:pPr>
      <w:r w:rsidRPr="00A93232">
        <w:rPr>
          <w:b/>
          <w:u w:val="single"/>
        </w:rPr>
        <w:t>RESPONSE TO COMMISSION STAFF’S QUESTIONS FOR COMMENT</w:t>
      </w:r>
    </w:p>
    <w:p w14:paraId="5F41BF17" w14:textId="77777777" w:rsidR="006E062F" w:rsidRPr="00A93232" w:rsidRDefault="006E062F" w:rsidP="006E062F">
      <w:pPr>
        <w:tabs>
          <w:tab w:val="left" w:pos="4680"/>
        </w:tabs>
        <w:spacing w:after="0"/>
        <w:jc w:val="center"/>
        <w:rPr>
          <w:b/>
        </w:rPr>
      </w:pPr>
    </w:p>
    <w:p w14:paraId="04117368" w14:textId="77777777" w:rsidR="00A93232" w:rsidRDefault="00A93232" w:rsidP="00A93232">
      <w:pPr>
        <w:spacing w:after="0" w:line="360" w:lineRule="auto"/>
        <w:outlineLvl w:val="0"/>
      </w:pPr>
      <w:r>
        <w:rPr>
          <w:b/>
          <w:bCs/>
        </w:rPr>
        <w:t>TO THE HONORABLE PUBLIC UTILITY COMMISSION OF TEXAS:</w:t>
      </w:r>
    </w:p>
    <w:p w14:paraId="784CC4FF" w14:textId="7E3D055B" w:rsidR="006E062F" w:rsidRPr="006E062F" w:rsidRDefault="00A93232" w:rsidP="00A93232">
      <w:pPr>
        <w:spacing w:after="0" w:line="360" w:lineRule="auto"/>
        <w:ind w:firstLine="720"/>
      </w:pPr>
      <w:r>
        <w:t xml:space="preserve">COMES NOW </w:t>
      </w:r>
      <w:r w:rsidR="006E062F" w:rsidRPr="006E062F">
        <w:t xml:space="preserve">Oncor Electric Delivery Company LLC (“Oncor”) </w:t>
      </w:r>
      <w:r>
        <w:t xml:space="preserve">and </w:t>
      </w:r>
      <w:r w:rsidR="006E062F" w:rsidRPr="006E062F">
        <w:t xml:space="preserve">files this </w:t>
      </w:r>
      <w:r>
        <w:t>its R</w:t>
      </w:r>
      <w:r w:rsidR="006E062F" w:rsidRPr="006E062F">
        <w:t xml:space="preserve">esponse to </w:t>
      </w:r>
      <w:r>
        <w:t xml:space="preserve">Commission Staff’s </w:t>
      </w:r>
      <w:r w:rsidR="006E062F">
        <w:t>Questions for</w:t>
      </w:r>
      <w:r w:rsidR="006E062F" w:rsidRPr="006E062F">
        <w:t xml:space="preserve"> Comment</w:t>
      </w:r>
      <w:r>
        <w:t>, and would respectfully show the following.</w:t>
      </w:r>
    </w:p>
    <w:p w14:paraId="5761F515" w14:textId="1B1A7FB7" w:rsidR="002137C3" w:rsidRPr="00B26860" w:rsidRDefault="002137C3" w:rsidP="00A93232">
      <w:pPr>
        <w:pStyle w:val="Heading1"/>
        <w:spacing w:after="0" w:line="360" w:lineRule="auto"/>
        <w:jc w:val="center"/>
        <w:rPr>
          <w:rFonts w:cs="Times New Roman"/>
          <w:b/>
          <w:bCs/>
          <w:color w:val="auto"/>
          <w:szCs w:val="24"/>
          <w:u w:val="single"/>
        </w:rPr>
      </w:pPr>
      <w:r w:rsidRPr="00B26860">
        <w:rPr>
          <w:rFonts w:cs="Times New Roman"/>
          <w:b/>
          <w:bCs/>
          <w:color w:val="auto"/>
          <w:szCs w:val="24"/>
          <w:u w:val="single"/>
        </w:rPr>
        <w:t>I.</w:t>
      </w:r>
      <w:r w:rsidR="00B26860">
        <w:rPr>
          <w:rFonts w:cs="Times New Roman"/>
          <w:b/>
          <w:bCs/>
          <w:color w:val="auto"/>
          <w:szCs w:val="24"/>
          <w:u w:val="single"/>
        </w:rPr>
        <w:t xml:space="preserve">  </w:t>
      </w:r>
      <w:r w:rsidRPr="00B26860">
        <w:rPr>
          <w:rFonts w:cs="Times New Roman"/>
          <w:b/>
          <w:bCs/>
          <w:color w:val="auto"/>
          <w:szCs w:val="24"/>
          <w:u w:val="single"/>
        </w:rPr>
        <w:t>INTRODUCTION</w:t>
      </w:r>
    </w:p>
    <w:p w14:paraId="2EA2C29C" w14:textId="69ECCB0E" w:rsidR="00712607" w:rsidRDefault="002137C3" w:rsidP="00E231FB">
      <w:pPr>
        <w:pStyle w:val="Heading1"/>
        <w:spacing w:after="0" w:line="360" w:lineRule="auto"/>
      </w:pPr>
      <w:r w:rsidRPr="006E062F">
        <w:tab/>
        <w:t xml:space="preserve">Oncor appreciates the opportunity to provide these responses to Commission Staff’s </w:t>
      </w:r>
      <w:r>
        <w:t>Questions for Comment.</w:t>
      </w:r>
      <w:r w:rsidR="00712607">
        <w:t xml:space="preserve">  Oncor is a transmission and distribution utility</w:t>
      </w:r>
      <w:r w:rsidR="004B69B2">
        <w:t xml:space="preserve"> (“TDU”)</w:t>
      </w:r>
      <w:r w:rsidR="00712607">
        <w:t xml:space="preserve"> operating within the electric grid operated by </w:t>
      </w:r>
      <w:r w:rsidR="00A93232">
        <w:t>the Electric Reliability Council of Texas (“</w:t>
      </w:r>
      <w:r w:rsidR="00712607">
        <w:t>ERCOT</w:t>
      </w:r>
      <w:r w:rsidR="00A93232">
        <w:t xml:space="preserve">”) </w:t>
      </w:r>
      <w:r w:rsidR="00712607">
        <w:t>and</w:t>
      </w:r>
      <w:r w:rsidR="00321F63">
        <w:t>,</w:t>
      </w:r>
      <w:r w:rsidR="00712607">
        <w:t xml:space="preserve"> thus, </w:t>
      </w:r>
      <w:r w:rsidR="00A93232">
        <w:t>this R</w:t>
      </w:r>
      <w:r w:rsidR="00712607">
        <w:t xml:space="preserve">esponse </w:t>
      </w:r>
      <w:r w:rsidR="00A93232">
        <w:t xml:space="preserve">is </w:t>
      </w:r>
      <w:r w:rsidR="00712607">
        <w:t>tailored to the ERCOT area of Texas.</w:t>
      </w:r>
    </w:p>
    <w:p w14:paraId="4BD45E43" w14:textId="36FE432D" w:rsidR="006E062F" w:rsidRPr="00B26860" w:rsidRDefault="002137C3" w:rsidP="00A93232">
      <w:pPr>
        <w:pStyle w:val="Heading1"/>
        <w:spacing w:after="0" w:line="360" w:lineRule="auto"/>
        <w:jc w:val="center"/>
        <w:rPr>
          <w:rFonts w:cs="Times New Roman"/>
          <w:b/>
          <w:bCs/>
          <w:color w:val="auto"/>
          <w:szCs w:val="24"/>
          <w:u w:val="single"/>
        </w:rPr>
      </w:pPr>
      <w:r w:rsidRPr="00B26860">
        <w:rPr>
          <w:rFonts w:cs="Times New Roman"/>
          <w:b/>
          <w:bCs/>
          <w:color w:val="auto"/>
          <w:szCs w:val="24"/>
          <w:u w:val="single"/>
        </w:rPr>
        <w:t>I</w:t>
      </w:r>
      <w:bookmarkStart w:id="3" w:name="_Hlk44341289"/>
      <w:r w:rsidR="00B26860" w:rsidRPr="00B26860">
        <w:rPr>
          <w:rFonts w:cs="Times New Roman"/>
          <w:b/>
          <w:bCs/>
          <w:color w:val="auto"/>
          <w:szCs w:val="24"/>
          <w:u w:val="single"/>
        </w:rPr>
        <w:t xml:space="preserve">I.  </w:t>
      </w:r>
      <w:r w:rsidR="006E062F" w:rsidRPr="00B26860">
        <w:rPr>
          <w:rFonts w:cs="Times New Roman"/>
          <w:b/>
          <w:bCs/>
          <w:color w:val="auto"/>
          <w:szCs w:val="24"/>
          <w:u w:val="single"/>
        </w:rPr>
        <w:t>RESPONSES TO QUESTIONS FOR COMMENT</w:t>
      </w:r>
      <w:bookmarkEnd w:id="3"/>
    </w:p>
    <w:p w14:paraId="4FFFE635" w14:textId="68716938" w:rsidR="006E062F" w:rsidRPr="00CB719B" w:rsidRDefault="00CB719B" w:rsidP="00A93232">
      <w:pPr>
        <w:pStyle w:val="ListParagraph"/>
        <w:numPr>
          <w:ilvl w:val="0"/>
          <w:numId w:val="15"/>
        </w:numPr>
        <w:spacing w:after="120"/>
        <w:ind w:left="720" w:hanging="720"/>
        <w:rPr>
          <w:b/>
          <w:bCs/>
          <w:i/>
          <w:iCs/>
        </w:rPr>
      </w:pPr>
      <w:r w:rsidRPr="00CB719B">
        <w:rPr>
          <w:b/>
          <w:bCs/>
          <w:i/>
          <w:iCs/>
        </w:rPr>
        <w:t xml:space="preserve">Government Code § 411.301(a) states the alert should </w:t>
      </w:r>
      <w:r w:rsidR="00321F63">
        <w:rPr>
          <w:b/>
          <w:bCs/>
          <w:i/>
          <w:iCs/>
        </w:rPr>
        <w:t>“</w:t>
      </w:r>
      <w:r w:rsidRPr="00CB719B">
        <w:rPr>
          <w:b/>
          <w:bCs/>
          <w:i/>
          <w:iCs/>
        </w:rPr>
        <w:t>be activated when the power supply in this state may be inadequate to meet demand.</w:t>
      </w:r>
      <w:r w:rsidR="00321F63">
        <w:rPr>
          <w:b/>
          <w:bCs/>
          <w:i/>
          <w:iCs/>
        </w:rPr>
        <w:t>”</w:t>
      </w:r>
      <w:r w:rsidRPr="00CB719B">
        <w:rPr>
          <w:b/>
          <w:bCs/>
          <w:i/>
          <w:iCs/>
        </w:rPr>
        <w:t xml:space="preserve"> </w:t>
      </w:r>
      <w:r w:rsidR="00A93232">
        <w:rPr>
          <w:b/>
          <w:bCs/>
          <w:i/>
          <w:iCs/>
        </w:rPr>
        <w:t xml:space="preserve"> </w:t>
      </w:r>
      <w:r w:rsidRPr="00CB719B">
        <w:rPr>
          <w:b/>
          <w:bCs/>
          <w:i/>
          <w:iCs/>
        </w:rPr>
        <w:t xml:space="preserve">Should the Public Utility Commission of Texas interpret this to mean that an alert will be activated when there is inadequate system-wide power supply to meet system-wide load demand? </w:t>
      </w:r>
      <w:r w:rsidR="00A93232">
        <w:rPr>
          <w:b/>
          <w:bCs/>
          <w:i/>
          <w:iCs/>
        </w:rPr>
        <w:t xml:space="preserve"> </w:t>
      </w:r>
      <w:r w:rsidRPr="00CB719B">
        <w:rPr>
          <w:b/>
          <w:bCs/>
          <w:i/>
          <w:iCs/>
        </w:rPr>
        <w:t>Should the commission also interpret this to mean that an alert will be activated when there are regional constraints that only restrict power supply to certain regions?</w:t>
      </w:r>
    </w:p>
    <w:p w14:paraId="4101ECBE" w14:textId="77777777" w:rsidR="005D50B1" w:rsidRDefault="0065372E" w:rsidP="00E231FB">
      <w:pPr>
        <w:spacing w:after="0" w:line="360" w:lineRule="auto"/>
        <w:rPr>
          <w:rFonts w:cs="Times New Roman"/>
          <w:bCs/>
        </w:rPr>
      </w:pPr>
      <w:r w:rsidRPr="0065372E">
        <w:rPr>
          <w:b/>
          <w:bCs/>
          <w:u w:val="single"/>
        </w:rPr>
        <w:t>Response</w:t>
      </w:r>
      <w:r w:rsidRPr="006E062F">
        <w:t>:</w:t>
      </w:r>
      <w:r w:rsidR="00820C6B">
        <w:rPr>
          <w:rFonts w:cs="Times New Roman"/>
          <w:bCs/>
        </w:rPr>
        <w:tab/>
      </w:r>
    </w:p>
    <w:p w14:paraId="1B423BEC" w14:textId="1C8893C2" w:rsidR="005D50B1" w:rsidRDefault="00A93232" w:rsidP="00E231FB">
      <w:pPr>
        <w:spacing w:after="0" w:line="360" w:lineRule="auto"/>
        <w:ind w:firstLine="720"/>
        <w:rPr>
          <w:rFonts w:cs="Times New Roman"/>
          <w:bCs/>
        </w:rPr>
      </w:pPr>
      <w:r>
        <w:rPr>
          <w:rFonts w:cs="Times New Roman"/>
          <w:bCs/>
        </w:rPr>
        <w:t>The C</w:t>
      </w:r>
      <w:r w:rsidR="00820C6B">
        <w:rPr>
          <w:rFonts w:cs="Times New Roman"/>
          <w:bCs/>
        </w:rPr>
        <w:t xml:space="preserve">ommission should interpret </w:t>
      </w:r>
      <w:r>
        <w:rPr>
          <w:rFonts w:cs="Times New Roman"/>
          <w:bCs/>
        </w:rPr>
        <w:t>Government Code §</w:t>
      </w:r>
      <w:r w:rsidR="00820C6B" w:rsidRPr="00820C6B">
        <w:rPr>
          <w:rFonts w:cs="Times New Roman"/>
          <w:bCs/>
        </w:rPr>
        <w:t>411.301(a)</w:t>
      </w:r>
      <w:r w:rsidR="00820C6B">
        <w:rPr>
          <w:rFonts w:cs="Times New Roman"/>
          <w:bCs/>
        </w:rPr>
        <w:t xml:space="preserve"> to apply </w:t>
      </w:r>
      <w:r w:rsidR="00820C6B" w:rsidRPr="00820C6B">
        <w:rPr>
          <w:rFonts w:cs="Times New Roman"/>
          <w:bCs/>
        </w:rPr>
        <w:t>when there is inadequate system-wide power supply to meet system-wide load demand</w:t>
      </w:r>
      <w:r>
        <w:rPr>
          <w:rFonts w:cs="Times New Roman"/>
          <w:bCs/>
        </w:rPr>
        <w:t xml:space="preserve">, </w:t>
      </w:r>
      <w:r w:rsidR="00820C6B">
        <w:rPr>
          <w:rFonts w:cs="Times New Roman"/>
          <w:bCs/>
        </w:rPr>
        <w:t xml:space="preserve">as well as </w:t>
      </w:r>
      <w:r w:rsidR="00820C6B" w:rsidRPr="00820C6B">
        <w:rPr>
          <w:rFonts w:cs="Times New Roman"/>
          <w:bCs/>
        </w:rPr>
        <w:t>when there are regional constraints that only restrict power supply to certain regions</w:t>
      </w:r>
      <w:r w:rsidR="00820C6B">
        <w:rPr>
          <w:rFonts w:cs="Times New Roman"/>
          <w:bCs/>
        </w:rPr>
        <w:t xml:space="preserve">.  The ERCOT grid represents about 90% of the state’s load.  </w:t>
      </w:r>
      <w:r w:rsidR="008B399A">
        <w:rPr>
          <w:rFonts w:cs="Times New Roman"/>
          <w:bCs/>
        </w:rPr>
        <w:t xml:space="preserve">Generation resources and load are interconnected within </w:t>
      </w:r>
      <w:r w:rsidR="00F3368E">
        <w:rPr>
          <w:rFonts w:cs="Times New Roman"/>
          <w:bCs/>
        </w:rPr>
        <w:t>ERCOT</w:t>
      </w:r>
      <w:r w:rsidR="008B399A">
        <w:rPr>
          <w:rFonts w:cs="Times New Roman"/>
          <w:bCs/>
        </w:rPr>
        <w:t xml:space="preserve"> on a single transmission grid.  </w:t>
      </w:r>
      <w:r w:rsidR="005D50B1">
        <w:rPr>
          <w:rFonts w:cs="Times New Roman"/>
          <w:bCs/>
        </w:rPr>
        <w:t>G</w:t>
      </w:r>
      <w:r w:rsidR="008B399A">
        <w:rPr>
          <w:rFonts w:cs="Times New Roman"/>
          <w:bCs/>
        </w:rPr>
        <w:t xml:space="preserve">eneration </w:t>
      </w:r>
      <w:r w:rsidR="005D50B1">
        <w:rPr>
          <w:rFonts w:cs="Times New Roman"/>
          <w:bCs/>
        </w:rPr>
        <w:t xml:space="preserve">that is insufficient </w:t>
      </w:r>
      <w:r w:rsidR="008B399A">
        <w:rPr>
          <w:rFonts w:cs="Times New Roman"/>
          <w:bCs/>
        </w:rPr>
        <w:t>to meet load requirements anywhere on the ERCOT grid can affect the entire grid.  Evidence of this</w:t>
      </w:r>
      <w:r w:rsidR="008B399A" w:rsidRPr="008B399A">
        <w:rPr>
          <w:rFonts w:cs="Times New Roman"/>
          <w:bCs/>
        </w:rPr>
        <w:t xml:space="preserve"> was </w:t>
      </w:r>
      <w:r w:rsidR="008B399A">
        <w:rPr>
          <w:rFonts w:cs="Times New Roman"/>
          <w:bCs/>
        </w:rPr>
        <w:t xml:space="preserve">clearly </w:t>
      </w:r>
      <w:r w:rsidR="008B399A" w:rsidRPr="008B399A">
        <w:rPr>
          <w:rFonts w:cs="Times New Roman"/>
          <w:bCs/>
        </w:rPr>
        <w:t xml:space="preserve">seen during </w:t>
      </w:r>
      <w:r>
        <w:rPr>
          <w:rFonts w:cs="Times New Roman"/>
          <w:bCs/>
        </w:rPr>
        <w:t>W</w:t>
      </w:r>
      <w:r w:rsidR="008B399A" w:rsidRPr="008B399A">
        <w:rPr>
          <w:rFonts w:cs="Times New Roman"/>
          <w:bCs/>
        </w:rPr>
        <w:t xml:space="preserve">inter </w:t>
      </w:r>
      <w:r>
        <w:rPr>
          <w:rFonts w:cs="Times New Roman"/>
          <w:bCs/>
        </w:rPr>
        <w:t>S</w:t>
      </w:r>
      <w:r w:rsidR="008B399A" w:rsidRPr="008B399A">
        <w:rPr>
          <w:rFonts w:cs="Times New Roman"/>
          <w:bCs/>
        </w:rPr>
        <w:t xml:space="preserve">torm Uri.  </w:t>
      </w:r>
      <w:r w:rsidR="008B399A">
        <w:rPr>
          <w:rFonts w:cs="Times New Roman"/>
          <w:bCs/>
        </w:rPr>
        <w:t xml:space="preserve">This is why </w:t>
      </w:r>
      <w:r w:rsidR="008B399A" w:rsidRPr="008B399A">
        <w:rPr>
          <w:rFonts w:cs="Times New Roman"/>
          <w:bCs/>
        </w:rPr>
        <w:t>ERCOT’s Energy Emergency Alert</w:t>
      </w:r>
      <w:r w:rsidR="00266ACE">
        <w:rPr>
          <w:rFonts w:cs="Times New Roman"/>
          <w:bCs/>
        </w:rPr>
        <w:t xml:space="preserve"> (“EEA”)</w:t>
      </w:r>
      <w:r w:rsidR="008B399A" w:rsidRPr="008B399A">
        <w:rPr>
          <w:rFonts w:cs="Times New Roman"/>
          <w:bCs/>
        </w:rPr>
        <w:t xml:space="preserve"> procedures are based on inadequate </w:t>
      </w:r>
      <w:r w:rsidR="008B399A" w:rsidRPr="00000611">
        <w:rPr>
          <w:rFonts w:cs="Times New Roman"/>
          <w:bCs/>
        </w:rPr>
        <w:t>system-wide</w:t>
      </w:r>
      <w:r w:rsidR="008B399A" w:rsidRPr="008B399A">
        <w:rPr>
          <w:rFonts w:cs="Times New Roman"/>
          <w:bCs/>
        </w:rPr>
        <w:t xml:space="preserve"> operating reserves.  </w:t>
      </w:r>
      <w:r w:rsidR="008B399A">
        <w:rPr>
          <w:rFonts w:cs="Times New Roman"/>
          <w:bCs/>
        </w:rPr>
        <w:t>Therefore, a</w:t>
      </w:r>
      <w:r w:rsidR="00FF5DEF">
        <w:rPr>
          <w:rFonts w:cs="Times New Roman"/>
          <w:bCs/>
        </w:rPr>
        <w:t>ny power outage alert system must be capable of being activated on a</w:t>
      </w:r>
      <w:r w:rsidR="009D1888">
        <w:rPr>
          <w:rFonts w:cs="Times New Roman"/>
          <w:bCs/>
        </w:rPr>
        <w:t>n</w:t>
      </w:r>
      <w:r w:rsidR="00FF5DEF">
        <w:rPr>
          <w:rFonts w:cs="Times New Roman"/>
          <w:bCs/>
        </w:rPr>
        <w:t xml:space="preserve"> </w:t>
      </w:r>
      <w:r w:rsidR="00F3368E">
        <w:rPr>
          <w:rFonts w:cs="Times New Roman"/>
          <w:bCs/>
        </w:rPr>
        <w:t xml:space="preserve">ERCOT-wide </w:t>
      </w:r>
      <w:r w:rsidR="00FF5DEF">
        <w:rPr>
          <w:rFonts w:cs="Times New Roman"/>
          <w:bCs/>
        </w:rPr>
        <w:t>basis.</w:t>
      </w:r>
      <w:r w:rsidR="009B7913">
        <w:rPr>
          <w:rFonts w:cs="Times New Roman"/>
          <w:bCs/>
        </w:rPr>
        <w:t xml:space="preserve">  Additionally, transmission constraints may affect regional areas of the ERCOT grid.  </w:t>
      </w:r>
      <w:r w:rsidR="005D50B1">
        <w:rPr>
          <w:rFonts w:cs="Times New Roman"/>
          <w:bCs/>
        </w:rPr>
        <w:t xml:space="preserve">While generation on the grid may be adequate to meet </w:t>
      </w:r>
      <w:r w:rsidR="005D50B1">
        <w:rPr>
          <w:rFonts w:cs="Times New Roman"/>
          <w:bCs/>
        </w:rPr>
        <w:lastRenderedPageBreak/>
        <w:t xml:space="preserve">system-wide load, transmission constraints may limit the amount of power that can flow to a certain area or region of the ERCOT grid.  If load is extremely high in that area, possibly due to extreme weather conditions in just part of the state or </w:t>
      </w:r>
      <w:r w:rsidR="00000611">
        <w:rPr>
          <w:rFonts w:cs="Times New Roman"/>
          <w:bCs/>
        </w:rPr>
        <w:t xml:space="preserve">the </w:t>
      </w:r>
      <w:r w:rsidR="005D50B1">
        <w:rPr>
          <w:rFonts w:cs="Times New Roman"/>
          <w:bCs/>
        </w:rPr>
        <w:t xml:space="preserve">loss of a power plant on the </w:t>
      </w:r>
      <w:r w:rsidR="00000611">
        <w:rPr>
          <w:rFonts w:cs="Times New Roman"/>
          <w:bCs/>
        </w:rPr>
        <w:t>constrained side of the transmission line</w:t>
      </w:r>
      <w:r w:rsidR="005D50B1">
        <w:rPr>
          <w:rFonts w:cs="Times New Roman"/>
          <w:bCs/>
        </w:rPr>
        <w:t xml:space="preserve">, the ERCOT grid may not be capable of providing adequate power to </w:t>
      </w:r>
      <w:r w:rsidR="00000611">
        <w:rPr>
          <w:rFonts w:cs="Times New Roman"/>
          <w:bCs/>
        </w:rPr>
        <w:t>that</w:t>
      </w:r>
      <w:r w:rsidR="005D50B1">
        <w:rPr>
          <w:rFonts w:cs="Times New Roman"/>
          <w:bCs/>
        </w:rPr>
        <w:t xml:space="preserve"> area of the grid.  This type of constraint has </w:t>
      </w:r>
      <w:r w:rsidR="009D1888">
        <w:rPr>
          <w:rFonts w:cs="Times New Roman"/>
          <w:bCs/>
        </w:rPr>
        <w:t xml:space="preserve">occurred in </w:t>
      </w:r>
      <w:r w:rsidR="005D50B1">
        <w:rPr>
          <w:rFonts w:cs="Times New Roman"/>
          <w:bCs/>
        </w:rPr>
        <w:t xml:space="preserve">the Rio Grande </w:t>
      </w:r>
      <w:r w:rsidR="00000223">
        <w:rPr>
          <w:rFonts w:cs="Times New Roman"/>
          <w:bCs/>
        </w:rPr>
        <w:t>Valley</w:t>
      </w:r>
      <w:r w:rsidR="00B26860">
        <w:rPr>
          <w:rFonts w:cs="Times New Roman"/>
          <w:bCs/>
        </w:rPr>
        <w:t>,</w:t>
      </w:r>
      <w:r w:rsidR="00DA000E">
        <w:rPr>
          <w:rFonts w:cs="Times New Roman"/>
          <w:bCs/>
        </w:rPr>
        <w:t xml:space="preserve"> as was discussed at the Commission Workshop </w:t>
      </w:r>
      <w:r w:rsidR="00B26860">
        <w:rPr>
          <w:rFonts w:cs="Times New Roman"/>
          <w:bCs/>
        </w:rPr>
        <w:t xml:space="preserve">held </w:t>
      </w:r>
      <w:r w:rsidR="00DA000E">
        <w:rPr>
          <w:rFonts w:cs="Times New Roman"/>
          <w:bCs/>
        </w:rPr>
        <w:t>on July 25, 2021</w:t>
      </w:r>
      <w:r w:rsidR="009D1888">
        <w:rPr>
          <w:rFonts w:cs="Times New Roman"/>
          <w:bCs/>
        </w:rPr>
        <w:t>.</w:t>
      </w:r>
      <w:r w:rsidR="00000223">
        <w:rPr>
          <w:rFonts w:cs="Times New Roman"/>
          <w:bCs/>
        </w:rPr>
        <w:t xml:space="preserve"> </w:t>
      </w:r>
      <w:r w:rsidR="00B26860">
        <w:rPr>
          <w:rFonts w:cs="Times New Roman"/>
          <w:bCs/>
        </w:rPr>
        <w:t xml:space="preserve"> </w:t>
      </w:r>
      <w:r w:rsidR="005D50B1">
        <w:rPr>
          <w:rFonts w:cs="Times New Roman"/>
          <w:bCs/>
        </w:rPr>
        <w:t xml:space="preserve">In these cases, </w:t>
      </w:r>
      <w:r w:rsidR="00000223">
        <w:rPr>
          <w:rFonts w:cs="Times New Roman"/>
          <w:bCs/>
        </w:rPr>
        <w:t xml:space="preserve">the state would be best served </w:t>
      </w:r>
      <w:r w:rsidR="005D50B1">
        <w:rPr>
          <w:rFonts w:cs="Times New Roman"/>
          <w:bCs/>
        </w:rPr>
        <w:t>for the power outage alert system to be capable of being activated</w:t>
      </w:r>
      <w:r w:rsidR="00000223">
        <w:rPr>
          <w:rFonts w:cs="Times New Roman"/>
          <w:bCs/>
        </w:rPr>
        <w:t xml:space="preserve"> both</w:t>
      </w:r>
      <w:r w:rsidR="005D50B1">
        <w:rPr>
          <w:rFonts w:cs="Times New Roman"/>
          <w:bCs/>
        </w:rPr>
        <w:t xml:space="preserve"> on a regional basis in addition to a state-wide basis.</w:t>
      </w:r>
    </w:p>
    <w:p w14:paraId="547D394D" w14:textId="77777777" w:rsidR="00B26860" w:rsidRDefault="00B26860" w:rsidP="00E231FB">
      <w:pPr>
        <w:spacing w:after="0" w:line="360" w:lineRule="auto"/>
        <w:ind w:firstLine="720"/>
        <w:rPr>
          <w:rFonts w:cs="Times New Roman"/>
          <w:bCs/>
        </w:rPr>
      </w:pPr>
    </w:p>
    <w:p w14:paraId="166C6279" w14:textId="192B8B72" w:rsidR="00CB719B" w:rsidRDefault="00CB719B" w:rsidP="00B26860">
      <w:pPr>
        <w:pStyle w:val="ListParagraph"/>
        <w:numPr>
          <w:ilvl w:val="0"/>
          <w:numId w:val="15"/>
        </w:numPr>
        <w:spacing w:after="120"/>
        <w:ind w:left="720" w:hanging="720"/>
        <w:rPr>
          <w:b/>
          <w:i/>
        </w:rPr>
      </w:pPr>
      <w:r w:rsidRPr="00970B16">
        <w:rPr>
          <w:b/>
          <w:i/>
        </w:rPr>
        <w:t xml:space="preserve">Government Code §411.301(b) states, </w:t>
      </w:r>
      <w:r w:rsidR="006E73BA">
        <w:rPr>
          <w:b/>
          <w:i/>
        </w:rPr>
        <w:t>“</w:t>
      </w:r>
      <w:r w:rsidRPr="00970B16">
        <w:rPr>
          <w:b/>
          <w:i/>
        </w:rPr>
        <w:t>The criteria must provide for an ale</w:t>
      </w:r>
      <w:r w:rsidR="006E73BA">
        <w:rPr>
          <w:b/>
          <w:i/>
        </w:rPr>
        <w:t>rt to be regional or statewide.”</w:t>
      </w:r>
      <w:r w:rsidRPr="00970B16">
        <w:rPr>
          <w:b/>
          <w:i/>
        </w:rPr>
        <w:t xml:space="preserve"> </w:t>
      </w:r>
      <w:r w:rsidR="00B26860">
        <w:rPr>
          <w:b/>
          <w:i/>
        </w:rPr>
        <w:t xml:space="preserve"> </w:t>
      </w:r>
      <w:r w:rsidRPr="00970B16">
        <w:rPr>
          <w:b/>
          <w:i/>
        </w:rPr>
        <w:t>How should the different regions be defined?</w:t>
      </w:r>
    </w:p>
    <w:p w14:paraId="5A1DE722" w14:textId="7BCA9CF9" w:rsidR="00970B16" w:rsidRDefault="00970B16" w:rsidP="00E231FB">
      <w:pPr>
        <w:spacing w:after="120"/>
        <w:rPr>
          <w:b/>
          <w:i/>
        </w:rPr>
      </w:pPr>
      <w:r w:rsidRPr="0065372E">
        <w:rPr>
          <w:b/>
          <w:bCs/>
          <w:u w:val="single"/>
        </w:rPr>
        <w:t>Response</w:t>
      </w:r>
      <w:r w:rsidRPr="006E062F">
        <w:t>:</w:t>
      </w:r>
    </w:p>
    <w:p w14:paraId="1F56ACBB" w14:textId="7DC636BD" w:rsidR="008726CB" w:rsidRDefault="008726CB" w:rsidP="00E231FB">
      <w:pPr>
        <w:spacing w:after="0" w:line="360" w:lineRule="auto"/>
        <w:ind w:firstLine="720"/>
      </w:pPr>
      <w:r>
        <w:t xml:space="preserve">Since weather is </w:t>
      </w:r>
      <w:r w:rsidR="009D1888">
        <w:t xml:space="preserve">likely </w:t>
      </w:r>
      <w:r>
        <w:t xml:space="preserve">the greatest single variable leading to power emergencies, ERCOT’s already-established Weather Zones </w:t>
      </w:r>
      <w:r w:rsidR="00000223">
        <w:t>are a good system</w:t>
      </w:r>
      <w:r>
        <w:t xml:space="preserve"> for defining </w:t>
      </w:r>
      <w:r w:rsidR="00000223">
        <w:t>regional alert areas</w:t>
      </w:r>
      <w:r>
        <w:t>.  As defined in the ERCOT Nodal Protocols, a Weather Zone is “</w:t>
      </w:r>
      <w:r w:rsidR="00000223">
        <w:t>a</w:t>
      </w:r>
      <w:r w:rsidR="00000223" w:rsidRPr="008726CB">
        <w:t xml:space="preserve"> </w:t>
      </w:r>
      <w:r w:rsidRPr="008726CB">
        <w:t>geographic region designated by ERCOT in which climatological characteristics are similar for all areas within such region.</w:t>
      </w:r>
      <w:r>
        <w:t>”</w:t>
      </w:r>
      <w:r w:rsidR="00921B74">
        <w:t xml:space="preserve">  The ERCOT Load Profiling Guide, Appendix D – Profile Decision Tree, cross references zip codes served within ERCOT’s grid to the appropriate Weather Zone.  Therefore, any public or private entity that part</w:t>
      </w:r>
      <w:r w:rsidR="00401CB0">
        <w:t>icipates</w:t>
      </w:r>
      <w:r w:rsidR="00921B74">
        <w:t xml:space="preserve"> </w:t>
      </w:r>
      <w:r w:rsidR="00401CB0">
        <w:t>in</w:t>
      </w:r>
      <w:r w:rsidR="00921B74">
        <w:t xml:space="preserve"> the Power Outage Alert system </w:t>
      </w:r>
      <w:r w:rsidR="00000223">
        <w:t>could</w:t>
      </w:r>
      <w:r w:rsidR="00921B74">
        <w:t xml:space="preserve"> create consistent alert regions by simply pairing zip codes </w:t>
      </w:r>
      <w:r w:rsidR="00000223">
        <w:t>with</w:t>
      </w:r>
      <w:r w:rsidR="00921B74">
        <w:t xml:space="preserve"> the ERCOT Weather Zones.</w:t>
      </w:r>
      <w:r w:rsidR="007506BA">
        <w:t xml:space="preserve">  Additionally, the capability to tailor alerts down to the County level would provide a more precise and targeted communication option </w:t>
      </w:r>
      <w:r w:rsidR="00EA574E">
        <w:t xml:space="preserve">which </w:t>
      </w:r>
      <w:r w:rsidR="007506BA">
        <w:t>would be beneficial in some cases.</w:t>
      </w:r>
    </w:p>
    <w:p w14:paraId="63A7D668" w14:textId="77777777" w:rsidR="00266ACE" w:rsidRDefault="00266ACE" w:rsidP="00E231FB">
      <w:pPr>
        <w:spacing w:after="0" w:line="360" w:lineRule="auto"/>
        <w:ind w:firstLine="360"/>
      </w:pPr>
    </w:p>
    <w:p w14:paraId="33567251" w14:textId="09862EC7" w:rsidR="00CB719B" w:rsidRDefault="00970B16" w:rsidP="00B26860">
      <w:pPr>
        <w:pStyle w:val="Heading1"/>
        <w:numPr>
          <w:ilvl w:val="0"/>
          <w:numId w:val="15"/>
        </w:numPr>
        <w:spacing w:after="120"/>
        <w:ind w:left="720" w:hanging="720"/>
        <w:contextualSpacing/>
        <w:rPr>
          <w:rFonts w:cs="Times New Roman"/>
          <w:b/>
          <w:bCs/>
          <w:i/>
          <w:color w:val="auto"/>
          <w:szCs w:val="24"/>
        </w:rPr>
      </w:pPr>
      <w:r w:rsidRPr="00970B16">
        <w:rPr>
          <w:rFonts w:cs="Times New Roman"/>
          <w:b/>
          <w:bCs/>
          <w:i/>
          <w:color w:val="auto"/>
          <w:szCs w:val="24"/>
        </w:rPr>
        <w:t>Government Code §411.301(b) states</w:t>
      </w:r>
      <w:r w:rsidR="00000223">
        <w:rPr>
          <w:rFonts w:cs="Times New Roman"/>
          <w:b/>
          <w:bCs/>
          <w:i/>
          <w:color w:val="auto"/>
          <w:szCs w:val="24"/>
        </w:rPr>
        <w:t xml:space="preserve"> </w:t>
      </w:r>
      <w:r w:rsidR="006E73BA">
        <w:rPr>
          <w:rFonts w:cs="Times New Roman"/>
          <w:b/>
          <w:bCs/>
          <w:i/>
          <w:color w:val="auto"/>
          <w:szCs w:val="24"/>
        </w:rPr>
        <w:t>“</w:t>
      </w:r>
      <w:r w:rsidRPr="00970B16">
        <w:rPr>
          <w:rFonts w:cs="Times New Roman"/>
          <w:b/>
          <w:bCs/>
          <w:i/>
          <w:color w:val="auto"/>
          <w:szCs w:val="24"/>
        </w:rPr>
        <w:t>The Public Utility Commission of</w:t>
      </w:r>
      <w:r w:rsidR="00000223">
        <w:rPr>
          <w:rFonts w:cs="Times New Roman"/>
          <w:b/>
          <w:bCs/>
          <w:i/>
          <w:color w:val="auto"/>
          <w:szCs w:val="24"/>
        </w:rPr>
        <w:t xml:space="preserve"> </w:t>
      </w:r>
      <w:r w:rsidRPr="00970B16">
        <w:rPr>
          <w:rFonts w:cs="Times New Roman"/>
          <w:b/>
          <w:bCs/>
          <w:i/>
          <w:color w:val="auto"/>
          <w:szCs w:val="24"/>
        </w:rPr>
        <w:t>Texas by rule shall adopt criteria for the content, activation</w:t>
      </w:r>
      <w:r w:rsidR="00875873">
        <w:rPr>
          <w:rFonts w:cs="Times New Roman"/>
          <w:b/>
          <w:bCs/>
          <w:i/>
          <w:color w:val="auto"/>
          <w:szCs w:val="24"/>
        </w:rPr>
        <w:t>, and termination of the alert.</w:t>
      </w:r>
      <w:r w:rsidR="006E73BA">
        <w:rPr>
          <w:rFonts w:cs="Times New Roman"/>
          <w:b/>
          <w:bCs/>
          <w:i/>
          <w:color w:val="auto"/>
          <w:szCs w:val="24"/>
        </w:rPr>
        <w:t>”</w:t>
      </w:r>
      <w:r w:rsidRPr="00970B16">
        <w:rPr>
          <w:rFonts w:cs="Times New Roman"/>
          <w:b/>
          <w:bCs/>
          <w:i/>
          <w:color w:val="auto"/>
          <w:szCs w:val="24"/>
        </w:rPr>
        <w:t xml:space="preserve"> </w:t>
      </w:r>
      <w:r w:rsidR="00B26860">
        <w:rPr>
          <w:rFonts w:cs="Times New Roman"/>
          <w:b/>
          <w:bCs/>
          <w:i/>
          <w:color w:val="auto"/>
          <w:szCs w:val="24"/>
        </w:rPr>
        <w:t xml:space="preserve"> </w:t>
      </w:r>
      <w:r w:rsidRPr="00970B16">
        <w:rPr>
          <w:rFonts w:cs="Times New Roman"/>
          <w:b/>
          <w:bCs/>
          <w:i/>
          <w:color w:val="auto"/>
          <w:szCs w:val="24"/>
        </w:rPr>
        <w:t xml:space="preserve">At what threshold should the commission choose for the alert to be activated? </w:t>
      </w:r>
      <w:r w:rsidR="00B26860">
        <w:rPr>
          <w:rFonts w:cs="Times New Roman"/>
          <w:b/>
          <w:bCs/>
          <w:i/>
          <w:color w:val="auto"/>
          <w:szCs w:val="24"/>
        </w:rPr>
        <w:t xml:space="preserve"> </w:t>
      </w:r>
      <w:r w:rsidRPr="00970B16">
        <w:rPr>
          <w:rFonts w:cs="Times New Roman"/>
          <w:b/>
          <w:bCs/>
          <w:i/>
          <w:color w:val="auto"/>
          <w:szCs w:val="24"/>
        </w:rPr>
        <w:t xml:space="preserve">Terminated? </w:t>
      </w:r>
      <w:r w:rsidR="00B26860">
        <w:rPr>
          <w:rFonts w:cs="Times New Roman"/>
          <w:b/>
          <w:bCs/>
          <w:i/>
          <w:color w:val="auto"/>
          <w:szCs w:val="24"/>
        </w:rPr>
        <w:t xml:space="preserve"> </w:t>
      </w:r>
      <w:r w:rsidRPr="00970B16">
        <w:rPr>
          <w:rFonts w:cs="Times New Roman"/>
          <w:b/>
          <w:bCs/>
          <w:i/>
          <w:color w:val="auto"/>
          <w:szCs w:val="24"/>
        </w:rPr>
        <w:t>What content would be the most helpful for inclusion in the alert?</w:t>
      </w:r>
    </w:p>
    <w:p w14:paraId="3622D510" w14:textId="77777777" w:rsidR="00970B16" w:rsidRDefault="00970B16" w:rsidP="00E231FB">
      <w:pPr>
        <w:spacing w:after="120"/>
        <w:rPr>
          <w:b/>
          <w:i/>
        </w:rPr>
      </w:pPr>
      <w:r w:rsidRPr="0065372E">
        <w:rPr>
          <w:b/>
          <w:bCs/>
          <w:u w:val="single"/>
        </w:rPr>
        <w:t>Response</w:t>
      </w:r>
      <w:r w:rsidRPr="006E062F">
        <w:t>:</w:t>
      </w:r>
    </w:p>
    <w:p w14:paraId="1097BE66" w14:textId="1E13AE8E" w:rsidR="0095217A" w:rsidRDefault="00266ACE" w:rsidP="00E231FB">
      <w:pPr>
        <w:tabs>
          <w:tab w:val="left" w:pos="360"/>
        </w:tabs>
        <w:spacing w:after="0" w:line="360" w:lineRule="auto"/>
        <w:ind w:firstLine="720"/>
      </w:pPr>
      <w:r>
        <w:t>For ERCOT system-wide events, if ERCOT declares an EEA Level 1 (</w:t>
      </w:r>
      <w:r w:rsidRPr="00266ACE">
        <w:t>operating reserves drop below 2,300 MW and are not expected to recover within 30 minutes</w:t>
      </w:r>
      <w:r w:rsidR="00000223">
        <w:t>)</w:t>
      </w:r>
      <w:r w:rsidR="00932252">
        <w:t>,</w:t>
      </w:r>
      <w:r w:rsidR="00000223">
        <w:t xml:space="preserve"> </w:t>
      </w:r>
      <w:r>
        <w:t>the Power Outage Alert system should be activated, and a</w:t>
      </w:r>
      <w:r w:rsidR="00A2602F">
        <w:t>n alert</w:t>
      </w:r>
      <w:r>
        <w:t xml:space="preserve"> should be broadcast via the Power Outage Alert system requesting energy conservation measures be employed across the state.</w:t>
      </w:r>
      <w:r w:rsidR="00122BE1">
        <w:t xml:space="preserve">  </w:t>
      </w:r>
      <w:r w:rsidR="003F003F">
        <w:t>I</w:t>
      </w:r>
      <w:r w:rsidR="00932252">
        <w:t>f</w:t>
      </w:r>
      <w:r w:rsidR="003F003F">
        <w:t xml:space="preserve"> ERCOT declares an EEA Level 2 (</w:t>
      </w:r>
      <w:r w:rsidR="003F003F" w:rsidRPr="003F003F">
        <w:t xml:space="preserve">operating reserves are less than 1,750 MW and are not expected to recover within </w:t>
      </w:r>
      <w:r w:rsidR="003F003F" w:rsidRPr="003F003F">
        <w:lastRenderedPageBreak/>
        <w:t>30 minutes</w:t>
      </w:r>
      <w:r w:rsidR="00000223">
        <w:t xml:space="preserve">,) </w:t>
      </w:r>
      <w:r w:rsidR="003F003F">
        <w:t xml:space="preserve">an alert should be broadcast reiterating the need to conserve energy and letting </w:t>
      </w:r>
      <w:r w:rsidR="00C74E32">
        <w:t>consumers</w:t>
      </w:r>
      <w:r w:rsidR="003F003F">
        <w:t xml:space="preserve"> know of the potential for rotating outages.  </w:t>
      </w:r>
      <w:r w:rsidR="00000223">
        <w:t xml:space="preserve">When ERCOT declares an EEA Level 3 and also orders transmission companies </w:t>
      </w:r>
      <w:r w:rsidR="003E1AD3" w:rsidRPr="003E1AD3">
        <w:t>to implement rotating outages</w:t>
      </w:r>
      <w:r w:rsidR="003E1AD3">
        <w:t>, an alert should</w:t>
      </w:r>
      <w:r w:rsidR="003F003F">
        <w:t xml:space="preserve"> be broadcast</w:t>
      </w:r>
      <w:r w:rsidR="00000223">
        <w:t>.  This alert</w:t>
      </w:r>
      <w:r w:rsidR="004F6C9A">
        <w:t xml:space="preserve"> would let </w:t>
      </w:r>
      <w:r w:rsidR="00C74E32">
        <w:t>consumers</w:t>
      </w:r>
      <w:r w:rsidR="003E1AD3">
        <w:t xml:space="preserve"> know </w:t>
      </w:r>
      <w:r w:rsidR="004F6C9A">
        <w:t xml:space="preserve">both </w:t>
      </w:r>
      <w:r w:rsidR="003E1AD3">
        <w:t xml:space="preserve">that rotating outages have </w:t>
      </w:r>
      <w:r w:rsidR="00932252">
        <w:t>started</w:t>
      </w:r>
      <w:r w:rsidR="00C74E32">
        <w:t xml:space="preserve"> and what they may expect in terms of power outage duration and timing</w:t>
      </w:r>
      <w:r w:rsidR="003E1AD3">
        <w:t xml:space="preserve">.  </w:t>
      </w:r>
      <w:r w:rsidR="004F6C9A">
        <w:t xml:space="preserve">Frequent and realistic expectations must be conveyed to the consumer.  </w:t>
      </w:r>
      <w:r w:rsidR="00A2602F">
        <w:t>I</w:t>
      </w:r>
      <w:r w:rsidR="00A2602F" w:rsidRPr="00A2602F">
        <w:t>n all cases, regardless of the communication</w:t>
      </w:r>
      <w:r w:rsidR="00A2602F">
        <w:t xml:space="preserve"> method or communication source</w:t>
      </w:r>
      <w:r w:rsidR="00A2602F" w:rsidRPr="00A2602F">
        <w:t>, it is important that all communication be coordinated and messaging consistent</w:t>
      </w:r>
      <w:r w:rsidR="00A2602F">
        <w:t xml:space="preserve">. </w:t>
      </w:r>
      <w:r w:rsidR="00A2602F" w:rsidRPr="00A2602F">
        <w:t xml:space="preserve"> </w:t>
      </w:r>
      <w:r w:rsidR="00DC0578">
        <w:t>Once ERCOT has</w:t>
      </w:r>
      <w:r w:rsidR="00C74E32">
        <w:t xml:space="preserve"> exi</w:t>
      </w:r>
      <w:r w:rsidR="00DC0578">
        <w:t xml:space="preserve">ted </w:t>
      </w:r>
      <w:r w:rsidR="00DA000E">
        <w:t xml:space="preserve">an </w:t>
      </w:r>
      <w:r w:rsidR="00DC0578">
        <w:t>EEA level, a message should be broadcast</w:t>
      </w:r>
      <w:r w:rsidR="00DA000E">
        <w:t>.  For instance</w:t>
      </w:r>
      <w:r w:rsidR="00B26860">
        <w:t>,</w:t>
      </w:r>
      <w:r w:rsidR="00DA000E">
        <w:t xml:space="preserve"> after ERCOT has exited EEA3 and all rotating outages have ceased, a customer would know that if they are still without power that an equipment problem </w:t>
      </w:r>
      <w:r w:rsidR="00B37BCF">
        <w:t xml:space="preserve">exists, </w:t>
      </w:r>
      <w:r w:rsidR="00DA000E">
        <w:t xml:space="preserve">either on the utility system or on their </w:t>
      </w:r>
      <w:r w:rsidR="00B37BCF">
        <w:t xml:space="preserve">own </w:t>
      </w:r>
      <w:r w:rsidR="00DA000E">
        <w:t>system.</w:t>
      </w:r>
      <w:r w:rsidR="00DC0578">
        <w:t xml:space="preserve"> </w:t>
      </w:r>
      <w:r w:rsidR="00A2602F">
        <w:t xml:space="preserve"> </w:t>
      </w:r>
      <w:r w:rsidR="00186048">
        <w:t>The customer would</w:t>
      </w:r>
      <w:r w:rsidR="004F6C9A">
        <w:t xml:space="preserve"> </w:t>
      </w:r>
      <w:r w:rsidR="00A2602F">
        <w:t xml:space="preserve">be informed to </w:t>
      </w:r>
      <w:r w:rsidR="00DC0578" w:rsidRPr="00DC0578">
        <w:t xml:space="preserve">please check breakers and </w:t>
      </w:r>
      <w:r w:rsidR="00DC0578">
        <w:t xml:space="preserve">contact their </w:t>
      </w:r>
      <w:r w:rsidR="00C74E32">
        <w:t xml:space="preserve">electric </w:t>
      </w:r>
      <w:r w:rsidR="00DC0578">
        <w:t>utility</w:t>
      </w:r>
      <w:r w:rsidR="00DC0578" w:rsidRPr="00DC0578">
        <w:t>.</w:t>
      </w:r>
      <w:r w:rsidR="00244FF5">
        <w:t xml:space="preserve">  </w:t>
      </w:r>
      <w:r w:rsidR="00186048">
        <w:t>The final message would be that ERCOT</w:t>
      </w:r>
      <w:r w:rsidR="00186048" w:rsidRPr="00DC0578">
        <w:t xml:space="preserve"> is no longer </w:t>
      </w:r>
      <w:r w:rsidR="00186048">
        <w:t>having a</w:t>
      </w:r>
      <w:r w:rsidR="00186048" w:rsidRPr="00DC0578">
        <w:t xml:space="preserve"> shortage of electricity</w:t>
      </w:r>
      <w:r w:rsidR="00B26860">
        <w:t xml:space="preserve"> and that all </w:t>
      </w:r>
      <w:r w:rsidR="00244FF5">
        <w:t xml:space="preserve">alerts </w:t>
      </w:r>
      <w:r w:rsidR="00B26860">
        <w:t>have been</w:t>
      </w:r>
      <w:r w:rsidR="00244FF5">
        <w:t xml:space="preserve"> terminated.</w:t>
      </w:r>
      <w:r w:rsidR="00A74E8F">
        <w:t xml:space="preserve">  </w:t>
      </w:r>
    </w:p>
    <w:p w14:paraId="76D027B3" w14:textId="62B6BB3E" w:rsidR="00875873" w:rsidRDefault="0095217A" w:rsidP="00E231FB">
      <w:pPr>
        <w:tabs>
          <w:tab w:val="left" w:pos="360"/>
        </w:tabs>
        <w:spacing w:after="0" w:line="360" w:lineRule="auto"/>
        <w:ind w:firstLine="720"/>
      </w:pPr>
      <w:r>
        <w:t xml:space="preserve">Regional </w:t>
      </w:r>
      <w:r w:rsidR="007506BA">
        <w:t>events are different from system-wide events</w:t>
      </w:r>
      <w:r w:rsidR="00B37BCF">
        <w:t>,</w:t>
      </w:r>
      <w:r w:rsidR="007506BA">
        <w:t xml:space="preserve"> and </w:t>
      </w:r>
      <w:r>
        <w:t xml:space="preserve">alerts </w:t>
      </w:r>
      <w:r w:rsidR="00630D8D">
        <w:t xml:space="preserve">likely will </w:t>
      </w:r>
      <w:r>
        <w:t xml:space="preserve">not be as straightforward </w:t>
      </w:r>
      <w:r w:rsidR="00630D8D">
        <w:t xml:space="preserve">or pre-planned </w:t>
      </w:r>
      <w:r>
        <w:t xml:space="preserve">since </w:t>
      </w:r>
      <w:r w:rsidR="007506BA">
        <w:t>the event will vary based on the specific situation</w:t>
      </w:r>
      <w:r w:rsidR="00630D8D">
        <w:t xml:space="preserve"> and regional constraint</w:t>
      </w:r>
      <w:r w:rsidR="007506BA">
        <w:t xml:space="preserve">.  </w:t>
      </w:r>
      <w:r w:rsidR="00630D8D">
        <w:t xml:space="preserve">A process that identifies the situation, impacted </w:t>
      </w:r>
      <w:r w:rsidR="00B37BCF">
        <w:t xml:space="preserve">ERCOT </w:t>
      </w:r>
      <w:r w:rsidR="00510086">
        <w:t>W</w:t>
      </w:r>
      <w:r w:rsidR="00630D8D">
        <w:t xml:space="preserve">eather </w:t>
      </w:r>
      <w:r w:rsidR="00510086">
        <w:t>Z</w:t>
      </w:r>
      <w:r w:rsidR="00630D8D">
        <w:t>ones/Counties, and communicates the appropriate message(s) should be developed.</w:t>
      </w:r>
      <w:r w:rsidR="00E22A61">
        <w:t xml:space="preserve">  </w:t>
      </w:r>
      <w:r w:rsidR="00CC00FF">
        <w:t xml:space="preserve">At a minimum, consideration should be given to utilizing ERCOT’s Listserv messaging service to alert market participants of regional events.    </w:t>
      </w:r>
      <w:r w:rsidR="00CC00FF" w:rsidRPr="00DC0578">
        <w:t xml:space="preserve">  </w:t>
      </w:r>
      <w:r w:rsidR="00CC00FF">
        <w:t xml:space="preserve"> </w:t>
      </w:r>
      <w:r w:rsidR="00DC0578" w:rsidRPr="00DC0578">
        <w:t xml:space="preserve"> </w:t>
      </w:r>
      <w:r w:rsidR="00DC0578">
        <w:t xml:space="preserve"> </w:t>
      </w:r>
    </w:p>
    <w:p w14:paraId="171F3C44" w14:textId="77777777" w:rsidR="00B26860" w:rsidRDefault="00970B16" w:rsidP="00B26860">
      <w:pPr>
        <w:spacing w:after="0"/>
        <w:jc w:val="center"/>
        <w:rPr>
          <w:b/>
        </w:rPr>
      </w:pPr>
      <w:r w:rsidRPr="00970B16">
        <w:rPr>
          <w:b/>
        </w:rPr>
        <w:t>III.</w:t>
      </w:r>
      <w:r w:rsidR="00B26860">
        <w:rPr>
          <w:b/>
        </w:rPr>
        <w:t xml:space="preserve">  </w:t>
      </w:r>
      <w:r w:rsidRPr="00970B16">
        <w:rPr>
          <w:b/>
        </w:rPr>
        <w:t>OTHER INSIGHTS AND CONTRIBUTIO</w:t>
      </w:r>
      <w:r>
        <w:rPr>
          <w:b/>
        </w:rPr>
        <w:t>NS</w:t>
      </w:r>
    </w:p>
    <w:p w14:paraId="7641D1C0" w14:textId="52902C13" w:rsidR="00970B16" w:rsidRPr="00B26860" w:rsidRDefault="00970B16" w:rsidP="00B26860">
      <w:pPr>
        <w:spacing w:after="120"/>
        <w:jc w:val="center"/>
        <w:rPr>
          <w:b/>
          <w:u w:val="single"/>
        </w:rPr>
      </w:pPr>
      <w:r w:rsidRPr="00B26860">
        <w:rPr>
          <w:b/>
          <w:u w:val="single"/>
        </w:rPr>
        <w:t>ON HOW TO DESIGN THIS SYSTEM</w:t>
      </w:r>
    </w:p>
    <w:p w14:paraId="78A17C30" w14:textId="2EEBDE13" w:rsidR="0027675C" w:rsidRDefault="0027675C" w:rsidP="00E231FB">
      <w:pPr>
        <w:tabs>
          <w:tab w:val="left" w:pos="360"/>
        </w:tabs>
        <w:spacing w:after="120" w:line="360" w:lineRule="auto"/>
        <w:ind w:firstLine="720"/>
      </w:pPr>
      <w:r>
        <w:t>During events</w:t>
      </w:r>
      <w:r w:rsidR="00B41E77">
        <w:t xml:space="preserve"> </w:t>
      </w:r>
      <w:r>
        <w:t>that affect large number</w:t>
      </w:r>
      <w:r w:rsidR="00E45617">
        <w:t>s</w:t>
      </w:r>
      <w:r>
        <w:t xml:space="preserve"> of customers,</w:t>
      </w:r>
      <w:r w:rsidR="00B41E77">
        <w:t xml:space="preserve"> </w:t>
      </w:r>
      <w:r w:rsidR="00B41E77" w:rsidRPr="00B41E77">
        <w:t xml:space="preserve">like </w:t>
      </w:r>
      <w:r w:rsidR="00B26860">
        <w:t>W</w:t>
      </w:r>
      <w:r w:rsidR="00B41E77" w:rsidRPr="00B41E77">
        <w:t xml:space="preserve">inter </w:t>
      </w:r>
      <w:r w:rsidR="00B26860">
        <w:t>S</w:t>
      </w:r>
      <w:r w:rsidR="00B41E77" w:rsidRPr="00B41E77">
        <w:t xml:space="preserve">torm Uri, </w:t>
      </w:r>
      <w:r>
        <w:t>Oncor utilizes several different avenues to communicate outage information to our customers</w:t>
      </w:r>
      <w:r w:rsidR="004F6C9A">
        <w:t>.  These include</w:t>
      </w:r>
      <w:r>
        <w:t xml:space="preserve"> social media, website messaging</w:t>
      </w:r>
      <w:r w:rsidR="00F0286F">
        <w:t>, storm map banners</w:t>
      </w:r>
      <w:r w:rsidR="005025FB">
        <w:t xml:space="preserve"> and</w:t>
      </w:r>
      <w:r w:rsidR="00B41E77">
        <w:t xml:space="preserve"> </w:t>
      </w:r>
      <w:r w:rsidR="00F0286F">
        <w:t xml:space="preserve">upfront messaging on our interactive voice response system.  </w:t>
      </w:r>
      <w:r w:rsidR="00C00D0B">
        <w:t xml:space="preserve">In addition to these tools, Oncor offers customers a free service called </w:t>
      </w:r>
      <w:r w:rsidR="00C00D0B" w:rsidRPr="00C00D0B">
        <w:rPr>
          <w:i/>
        </w:rPr>
        <w:t>My Oncor Alerts</w:t>
      </w:r>
      <w:r w:rsidR="00C00D0B">
        <w:t xml:space="preserve">.  </w:t>
      </w:r>
      <w:r w:rsidR="00C00D0B" w:rsidRPr="00C00D0B">
        <w:rPr>
          <w:i/>
        </w:rPr>
        <w:t>My Oncor Alerts</w:t>
      </w:r>
      <w:r w:rsidR="00C00D0B">
        <w:t xml:space="preserve"> proactively notifies customers when their power is out and provides an estimated time of restoration</w:t>
      </w:r>
      <w:r w:rsidR="00932252">
        <w:t>,</w:t>
      </w:r>
      <w:r w:rsidR="00C00D0B">
        <w:t xml:space="preserve"> if available.  </w:t>
      </w:r>
      <w:r w:rsidR="00C00D0B" w:rsidRPr="00C00D0B">
        <w:t xml:space="preserve">Customers </w:t>
      </w:r>
      <w:r w:rsidR="00C00D0B">
        <w:t xml:space="preserve">also </w:t>
      </w:r>
      <w:r w:rsidR="00C00D0B" w:rsidRPr="00C00D0B">
        <w:t>receive information about</w:t>
      </w:r>
      <w:r w:rsidR="00C00D0B">
        <w:t xml:space="preserve"> temporary disconnect and reconnect </w:t>
      </w:r>
      <w:r w:rsidR="00C00D0B" w:rsidRPr="00C00D0B">
        <w:t>communications and scheduling</w:t>
      </w:r>
      <w:r w:rsidR="00C00D0B">
        <w:t>.</w:t>
      </w:r>
      <w:r w:rsidR="0056319F">
        <w:t xml:space="preserve">  Customer</w:t>
      </w:r>
      <w:r w:rsidR="006E2160">
        <w:t>s</w:t>
      </w:r>
      <w:r w:rsidR="0056319F">
        <w:t xml:space="preserve"> m</w:t>
      </w:r>
      <w:r w:rsidR="0056319F" w:rsidRPr="0056319F">
        <w:t xml:space="preserve">ay choose </w:t>
      </w:r>
      <w:r w:rsidR="00932252">
        <w:t xml:space="preserve">to receive alerts using </w:t>
      </w:r>
      <w:r w:rsidR="0056319F" w:rsidRPr="0056319F">
        <w:t>one o</w:t>
      </w:r>
      <w:r w:rsidR="0056319F">
        <w:t>r more communication channels</w:t>
      </w:r>
      <w:r w:rsidR="00932252">
        <w:t>,</w:t>
      </w:r>
      <w:r w:rsidR="0056319F">
        <w:t xml:space="preserve"> including</w:t>
      </w:r>
      <w:r w:rsidR="0056319F" w:rsidRPr="0056319F">
        <w:t xml:space="preserve"> text, email or </w:t>
      </w:r>
      <w:r w:rsidR="00932252">
        <w:t>voice messaging</w:t>
      </w:r>
      <w:r w:rsidR="0056319F">
        <w:t>.</w:t>
      </w:r>
      <w:r w:rsidR="00847B80">
        <w:t xml:space="preserve">  </w:t>
      </w:r>
      <w:r w:rsidR="006E2160" w:rsidRPr="006E2160">
        <w:rPr>
          <w:i/>
        </w:rPr>
        <w:t>My Oncor Alerts</w:t>
      </w:r>
      <w:r w:rsidR="006E2160" w:rsidRPr="006E2160">
        <w:t xml:space="preserve"> has the highest customer satisfaction rate of any of </w:t>
      </w:r>
      <w:r w:rsidR="006E2160">
        <w:t>Oncor’s</w:t>
      </w:r>
      <w:r w:rsidR="006E2160" w:rsidRPr="006E2160">
        <w:t xml:space="preserve"> communication channels</w:t>
      </w:r>
      <w:r w:rsidR="006E2160">
        <w:t>.</w:t>
      </w:r>
      <w:r w:rsidR="006E2160" w:rsidRPr="006E2160">
        <w:t xml:space="preserve"> </w:t>
      </w:r>
      <w:r w:rsidR="00B26860">
        <w:t xml:space="preserve"> </w:t>
      </w:r>
      <w:r w:rsidR="00932252" w:rsidRPr="00510086">
        <w:rPr>
          <w:i/>
        </w:rPr>
        <w:t>My Oncor Alerts</w:t>
      </w:r>
      <w:r w:rsidR="00D412C8">
        <w:rPr>
          <w:i/>
        </w:rPr>
        <w:t>,</w:t>
      </w:r>
      <w:r w:rsidR="00932252">
        <w:t xml:space="preserve"> in addition to the company’s </w:t>
      </w:r>
      <w:r w:rsidR="00932252" w:rsidRPr="00510086">
        <w:rPr>
          <w:i/>
        </w:rPr>
        <w:t>MyOncor</w:t>
      </w:r>
      <w:r w:rsidR="00510086">
        <w:t xml:space="preserve"> app</w:t>
      </w:r>
      <w:r w:rsidR="00932252">
        <w:t xml:space="preserve"> </w:t>
      </w:r>
      <w:r w:rsidR="00B26860">
        <w:t>(</w:t>
      </w:r>
      <w:r w:rsidR="00932252">
        <w:t xml:space="preserve">which provides real-time information about power outages and </w:t>
      </w:r>
      <w:r w:rsidR="00D412C8">
        <w:t xml:space="preserve">historical </w:t>
      </w:r>
      <w:r w:rsidR="00510086">
        <w:t xml:space="preserve">outage </w:t>
      </w:r>
      <w:r w:rsidR="00932252">
        <w:t>information</w:t>
      </w:r>
      <w:r w:rsidR="00B26860">
        <w:t>)</w:t>
      </w:r>
      <w:r w:rsidR="00510086">
        <w:t>,</w:t>
      </w:r>
      <w:r w:rsidR="00932252">
        <w:t xml:space="preserve"> </w:t>
      </w:r>
      <w:r w:rsidR="00D412C8">
        <w:t xml:space="preserve">paired </w:t>
      </w:r>
      <w:r w:rsidR="00D412C8">
        <w:lastRenderedPageBreak/>
        <w:t xml:space="preserve">with the state’s </w:t>
      </w:r>
      <w:r w:rsidR="00847B80">
        <w:t>Power Outage Alert system</w:t>
      </w:r>
      <w:r w:rsidR="00410724">
        <w:t xml:space="preserve"> </w:t>
      </w:r>
      <w:r w:rsidR="00D412C8">
        <w:t xml:space="preserve">could prove useful in communicating with the public </w:t>
      </w:r>
      <w:r w:rsidR="00410724">
        <w:t>during power shortage</w:t>
      </w:r>
      <w:r w:rsidR="00D412C8">
        <w:t xml:space="preserve"> events</w:t>
      </w:r>
      <w:r w:rsidR="00847B80">
        <w:t>.</w:t>
      </w:r>
    </w:p>
    <w:p w14:paraId="5D87D384" w14:textId="5A9B439B" w:rsidR="00847B80" w:rsidRDefault="004B69B2" w:rsidP="00B26860">
      <w:pPr>
        <w:tabs>
          <w:tab w:val="left" w:pos="360"/>
          <w:tab w:val="left" w:pos="720"/>
        </w:tabs>
        <w:spacing w:after="0" w:line="360" w:lineRule="auto"/>
        <w:ind w:firstLine="720"/>
      </w:pPr>
      <w:r>
        <w:t>One shortcoming of the competitive structure of the ERCOT market</w:t>
      </w:r>
      <w:r w:rsidR="00BF2F44">
        <w:t>, however,</w:t>
      </w:r>
      <w:r>
        <w:t xml:space="preserve"> is that the TDUs are limited in their ability to reach </w:t>
      </w:r>
      <w:r w:rsidR="004C069E">
        <w:t xml:space="preserve">out to </w:t>
      </w:r>
      <w:r>
        <w:t>customers. T</w:t>
      </w:r>
      <w:r w:rsidR="006E2160">
        <w:t xml:space="preserve">he </w:t>
      </w:r>
      <w:r w:rsidR="006E2160" w:rsidRPr="006E2160">
        <w:t>Telephone Consumer Protection Act</w:t>
      </w:r>
      <w:r w:rsidR="006E2160">
        <w:t xml:space="preserve"> (“TCPA”) limits utilities to sending proactive automated text and voice messaging only to customers who have expressly given authorization for such communications, such as those who have enrolled in the </w:t>
      </w:r>
      <w:r w:rsidR="006E2160" w:rsidRPr="006E2160">
        <w:rPr>
          <w:i/>
        </w:rPr>
        <w:t>My Oncor Alerts</w:t>
      </w:r>
      <w:r w:rsidR="006E2160">
        <w:t xml:space="preserve"> program</w:t>
      </w:r>
      <w:r w:rsidR="005F2C03">
        <w:t xml:space="preserve"> or downloaded the </w:t>
      </w:r>
      <w:r w:rsidR="005F2C03" w:rsidRPr="00E231FB">
        <w:rPr>
          <w:i/>
        </w:rPr>
        <w:t>MyOncor</w:t>
      </w:r>
      <w:r w:rsidR="005F2C03">
        <w:t xml:space="preserve"> app</w:t>
      </w:r>
      <w:r w:rsidR="006E2160">
        <w:t>.</w:t>
      </w:r>
      <w:r w:rsidR="00152E10">
        <w:t xml:space="preserve">  Retail electric providers (“REPs”) acquire the customer contact information when enrolling their customers</w:t>
      </w:r>
      <w:r w:rsidR="00067612">
        <w:t xml:space="preserve"> and they pass some of that information to the TDUs. </w:t>
      </w:r>
      <w:r w:rsidR="00B26860">
        <w:t xml:space="preserve"> </w:t>
      </w:r>
      <w:r w:rsidR="004C069E">
        <w:t xml:space="preserve">In accordance with Oncor’s Tariff for Retail Delivery Service, REPs are required to provide the customer’s </w:t>
      </w:r>
      <w:r w:rsidR="004C069E" w:rsidRPr="004C069E">
        <w:t>name, address and telephone number</w:t>
      </w:r>
      <w:r w:rsidR="004C069E">
        <w:t xml:space="preserve"> to the TDU.</w:t>
      </w:r>
      <w:r w:rsidR="00043781">
        <w:t xml:space="preserve">  </w:t>
      </w:r>
      <w:r w:rsidR="00BF2F44">
        <w:t xml:space="preserve">However, REPs generally do not </w:t>
      </w:r>
      <w:r w:rsidR="005F2C03">
        <w:t>share</w:t>
      </w:r>
      <w:r w:rsidR="00BF2F44">
        <w:t xml:space="preserve"> customer email addresses.  </w:t>
      </w:r>
      <w:r w:rsidR="00043781">
        <w:t>If Oncor c</w:t>
      </w:r>
      <w:r w:rsidR="00BF2F44">
        <w:t>ould also acquire the customers’</w:t>
      </w:r>
      <w:r w:rsidR="00043781">
        <w:t xml:space="preserve"> email address</w:t>
      </w:r>
      <w:r w:rsidR="00BF2F44">
        <w:t>es</w:t>
      </w:r>
      <w:r w:rsidR="00381DF8">
        <w:t xml:space="preserve"> from the REP</w:t>
      </w:r>
      <w:r w:rsidR="00BF2F44">
        <w:t>s</w:t>
      </w:r>
      <w:r w:rsidR="00043781">
        <w:t xml:space="preserve">, then Oncor could proactively enroll customers in </w:t>
      </w:r>
      <w:r w:rsidR="00043781" w:rsidRPr="00043781">
        <w:rPr>
          <w:i/>
        </w:rPr>
        <w:t>My Oncor Alerts</w:t>
      </w:r>
      <w:r w:rsidR="00BF2F44">
        <w:rPr>
          <w:i/>
        </w:rPr>
        <w:t>,</w:t>
      </w:r>
      <w:r w:rsidR="00043781">
        <w:t xml:space="preserve"> since email communications are not subject to the </w:t>
      </w:r>
      <w:r w:rsidR="00B26860">
        <w:t>restrictions</w:t>
      </w:r>
      <w:r w:rsidR="00043781">
        <w:t xml:space="preserve"> of the TCPA.  </w:t>
      </w:r>
      <w:r w:rsidR="00381DF8">
        <w:t>For those customer</w:t>
      </w:r>
      <w:r w:rsidR="004F6C9A">
        <w:t>s</w:t>
      </w:r>
      <w:r w:rsidR="00381DF8">
        <w:t xml:space="preserve"> not interested in t</w:t>
      </w:r>
      <w:r w:rsidR="00537B9C">
        <w:t xml:space="preserve">he </w:t>
      </w:r>
      <w:r w:rsidR="00537B9C" w:rsidRPr="00537B9C">
        <w:rPr>
          <w:i/>
        </w:rPr>
        <w:t>My Oncor Alerts</w:t>
      </w:r>
      <w:r w:rsidR="00537B9C">
        <w:t xml:space="preserve"> program</w:t>
      </w:r>
      <w:r w:rsidR="00381DF8">
        <w:t>, the program</w:t>
      </w:r>
      <w:r w:rsidR="00537B9C">
        <w:t xml:space="preserve"> </w:t>
      </w:r>
      <w:r w:rsidR="004F6C9A">
        <w:t xml:space="preserve">allows </w:t>
      </w:r>
      <w:r w:rsidR="00537B9C">
        <w:t>customers</w:t>
      </w:r>
      <w:r w:rsidR="00381DF8">
        <w:t xml:space="preserve"> </w:t>
      </w:r>
      <w:r w:rsidR="00537B9C">
        <w:t>to easily</w:t>
      </w:r>
      <w:r w:rsidR="00381DF8">
        <w:t xml:space="preserve"> unsubscribe</w:t>
      </w:r>
      <w:r w:rsidR="00537B9C">
        <w:t xml:space="preserve">.  </w:t>
      </w:r>
      <w:r w:rsidR="006E2160">
        <w:t xml:space="preserve"> </w:t>
      </w:r>
    </w:p>
    <w:p w14:paraId="3D018D70" w14:textId="7BC46446" w:rsidR="005B4257" w:rsidRPr="0027675C" w:rsidRDefault="005B4257" w:rsidP="00B26860">
      <w:pPr>
        <w:tabs>
          <w:tab w:val="left" w:pos="360"/>
          <w:tab w:val="left" w:pos="720"/>
        </w:tabs>
        <w:spacing w:after="0" w:line="360" w:lineRule="auto"/>
        <w:ind w:firstLine="720"/>
      </w:pPr>
      <w:r>
        <w:t xml:space="preserve">When Texas SET 4.0 was implemented in 2012, market participants envisioned a need for the transfer of power outage contact information from the REP to the TDU.  A new </w:t>
      </w:r>
      <w:r w:rsidRPr="005B4257">
        <w:t>Power Outage Contact Information</w:t>
      </w:r>
      <w:r>
        <w:t xml:space="preserve"> segment was added to the ERCOT 814_PC EDI transaction which</w:t>
      </w:r>
      <w:r w:rsidR="00B26860">
        <w:t>,</w:t>
      </w:r>
      <w:r>
        <w:t xml:space="preserve"> in part, provides the capability for REPs to electronically transfer customer email addresses to TDUs.  To date, most REPs have declined to do so because the</w:t>
      </w:r>
      <w:r w:rsidR="00B26860">
        <w:t xml:space="preserve">y are </w:t>
      </w:r>
      <w:r>
        <w:t>not require</w:t>
      </w:r>
      <w:r w:rsidR="00B26860">
        <w:t>d to do so</w:t>
      </w:r>
      <w:r>
        <w:t>.</w:t>
      </w:r>
      <w:r w:rsidR="00B26860">
        <w:t xml:space="preserve">  As the C</w:t>
      </w:r>
      <w:r w:rsidR="00880727">
        <w:t>ommission contemplates the best way to reach customers during power outage emergencies, consideration should be given to requiring REPs to provide customer email addresses to TDUs</w:t>
      </w:r>
      <w:r w:rsidR="00BF2F44">
        <w:t>,</w:t>
      </w:r>
      <w:r w:rsidR="00880727">
        <w:t xml:space="preserve"> just as they are required to provide customer</w:t>
      </w:r>
      <w:r w:rsidR="00880727" w:rsidRPr="00880727">
        <w:t>s</w:t>
      </w:r>
      <w:r w:rsidR="00880727">
        <w:t>’</w:t>
      </w:r>
      <w:r w:rsidR="00880727" w:rsidRPr="00880727">
        <w:t xml:space="preserve"> name</w:t>
      </w:r>
      <w:r w:rsidR="00880727">
        <w:t>s</w:t>
      </w:r>
      <w:r w:rsidR="00880727" w:rsidRPr="00880727">
        <w:t>, address</w:t>
      </w:r>
      <w:r w:rsidR="00880727">
        <w:t>es</w:t>
      </w:r>
      <w:r w:rsidR="00880727" w:rsidRPr="00880727">
        <w:t xml:space="preserve"> and telephone number</w:t>
      </w:r>
      <w:r w:rsidR="00880727">
        <w:t xml:space="preserve">s.  By doing so, the </w:t>
      </w:r>
      <w:r w:rsidR="00B26860">
        <w:t>C</w:t>
      </w:r>
      <w:r w:rsidR="00880727">
        <w:t xml:space="preserve">ommission will enable utilities with programs like </w:t>
      </w:r>
      <w:r w:rsidR="00880727" w:rsidRPr="00880727">
        <w:rPr>
          <w:i/>
        </w:rPr>
        <w:t>My Oncor Alerts</w:t>
      </w:r>
      <w:r w:rsidR="00880727">
        <w:t xml:space="preserve"> to reach more customers</w:t>
      </w:r>
      <w:r>
        <w:t xml:space="preserve"> </w:t>
      </w:r>
      <w:r w:rsidR="00D855CF">
        <w:t xml:space="preserve">during power outage emergencies, thus complementing the state’s own Power Outage Alert system. </w:t>
      </w:r>
      <w:r>
        <w:t xml:space="preserve">  </w:t>
      </w:r>
    </w:p>
    <w:p w14:paraId="3DB68FC6" w14:textId="33090AA4" w:rsidR="006E062F" w:rsidRPr="008A0065" w:rsidRDefault="00CB719B" w:rsidP="008A0065">
      <w:pPr>
        <w:pStyle w:val="Heading1"/>
        <w:spacing w:after="0" w:line="360" w:lineRule="auto"/>
        <w:jc w:val="center"/>
        <w:rPr>
          <w:rFonts w:cs="Times New Roman"/>
          <w:b/>
          <w:bCs/>
          <w:color w:val="auto"/>
          <w:szCs w:val="24"/>
          <w:u w:val="single"/>
        </w:rPr>
      </w:pPr>
      <w:r w:rsidRPr="008A0065">
        <w:rPr>
          <w:rFonts w:cs="Times New Roman"/>
          <w:b/>
          <w:bCs/>
          <w:color w:val="auto"/>
          <w:szCs w:val="24"/>
          <w:u w:val="single"/>
        </w:rPr>
        <w:t>I</w:t>
      </w:r>
      <w:r w:rsidR="00970B16" w:rsidRPr="008A0065">
        <w:rPr>
          <w:rFonts w:cs="Times New Roman"/>
          <w:b/>
          <w:bCs/>
          <w:color w:val="auto"/>
          <w:szCs w:val="24"/>
          <w:u w:val="single"/>
        </w:rPr>
        <w:t>V</w:t>
      </w:r>
      <w:r w:rsidR="00B26860" w:rsidRPr="008A0065">
        <w:rPr>
          <w:rFonts w:cs="Times New Roman"/>
          <w:b/>
          <w:bCs/>
          <w:color w:val="auto"/>
          <w:szCs w:val="24"/>
          <w:u w:val="single"/>
        </w:rPr>
        <w:t xml:space="preserve">.  </w:t>
      </w:r>
      <w:r w:rsidR="006E062F" w:rsidRPr="008A0065">
        <w:rPr>
          <w:rFonts w:cs="Times New Roman"/>
          <w:b/>
          <w:bCs/>
          <w:color w:val="auto"/>
          <w:szCs w:val="24"/>
          <w:u w:val="single"/>
        </w:rPr>
        <w:t>CONCLUSION</w:t>
      </w:r>
    </w:p>
    <w:p w14:paraId="5C8B34A2" w14:textId="0B751B6D" w:rsidR="005756D9" w:rsidRDefault="006E062F" w:rsidP="00E231FB">
      <w:pPr>
        <w:spacing w:after="0" w:line="360" w:lineRule="auto"/>
      </w:pPr>
      <w:r w:rsidRPr="006E062F">
        <w:tab/>
        <w:t>Oncor appreciates t</w:t>
      </w:r>
      <w:r w:rsidR="008A0065">
        <w:t>he opportunity to provide this R</w:t>
      </w:r>
      <w:r w:rsidRPr="006E062F">
        <w:t xml:space="preserve">esponse to Commission Staff’s </w:t>
      </w:r>
      <w:r w:rsidR="0065372E">
        <w:t>Questions for Comment</w:t>
      </w:r>
      <w:r w:rsidRPr="006E062F">
        <w:t xml:space="preserve">. </w:t>
      </w:r>
      <w:r w:rsidR="005756D9">
        <w:tab/>
      </w:r>
      <w:r w:rsidR="005756D9">
        <w:tab/>
      </w:r>
      <w:r w:rsidR="005756D9">
        <w:tab/>
      </w:r>
    </w:p>
    <w:p w14:paraId="36D9F78A" w14:textId="77777777" w:rsidR="005756D9" w:rsidRDefault="005756D9" w:rsidP="00E231FB">
      <w:pPr>
        <w:spacing w:after="0" w:line="360" w:lineRule="auto"/>
        <w:ind w:left="3600" w:firstLine="720"/>
      </w:pPr>
    </w:p>
    <w:p w14:paraId="7A474E73" w14:textId="77777777" w:rsidR="000D5E8E" w:rsidRDefault="000D5E8E">
      <w:pPr>
        <w:jc w:val="left"/>
        <w:rPr>
          <w:b/>
        </w:rPr>
      </w:pPr>
      <w:r>
        <w:rPr>
          <w:b/>
        </w:rPr>
        <w:br w:type="page"/>
      </w:r>
    </w:p>
    <w:p w14:paraId="5397DB65" w14:textId="3578E71F" w:rsidR="005E67D3" w:rsidRPr="0019375C" w:rsidRDefault="005E67D3" w:rsidP="00E231FB">
      <w:pPr>
        <w:spacing w:after="0" w:line="360" w:lineRule="auto"/>
        <w:ind w:left="3600" w:firstLine="720"/>
        <w:rPr>
          <w:b/>
        </w:rPr>
      </w:pPr>
      <w:r w:rsidRPr="0019375C">
        <w:rPr>
          <w:b/>
        </w:rPr>
        <w:lastRenderedPageBreak/>
        <w:t>Respectfully submitted,</w:t>
      </w:r>
    </w:p>
    <w:p w14:paraId="03C8A263" w14:textId="77777777" w:rsidR="005E67D3" w:rsidRPr="0019375C" w:rsidRDefault="005E67D3" w:rsidP="00E231FB">
      <w:pPr>
        <w:widowControl w:val="0"/>
        <w:spacing w:after="0"/>
        <w:rPr>
          <w:b/>
        </w:rPr>
      </w:pPr>
      <w:r w:rsidRPr="0019375C">
        <w:rPr>
          <w:b/>
        </w:rPr>
        <w:tab/>
      </w:r>
      <w:r w:rsidRPr="0019375C">
        <w:rPr>
          <w:b/>
        </w:rPr>
        <w:tab/>
      </w:r>
      <w:r w:rsidRPr="0019375C">
        <w:rPr>
          <w:b/>
        </w:rPr>
        <w:tab/>
      </w:r>
      <w:r w:rsidRPr="0019375C">
        <w:rPr>
          <w:b/>
        </w:rPr>
        <w:tab/>
      </w:r>
      <w:r w:rsidRPr="0019375C">
        <w:rPr>
          <w:b/>
        </w:rPr>
        <w:tab/>
      </w:r>
      <w:r w:rsidRPr="0019375C">
        <w:rPr>
          <w:b/>
        </w:rPr>
        <w:tab/>
        <w:t>Oncor Electric Delivery Company LLC</w:t>
      </w:r>
    </w:p>
    <w:p w14:paraId="430A6AA2" w14:textId="77777777" w:rsidR="005E67D3" w:rsidRPr="0019375C" w:rsidRDefault="005E67D3" w:rsidP="00E231FB">
      <w:pPr>
        <w:widowControl w:val="0"/>
        <w:tabs>
          <w:tab w:val="left" w:pos="4320"/>
        </w:tabs>
        <w:spacing w:after="0"/>
      </w:pPr>
    </w:p>
    <w:p w14:paraId="01A9AB50" w14:textId="77777777" w:rsidR="005E67D3" w:rsidRPr="0019375C" w:rsidRDefault="005E67D3" w:rsidP="00E231FB">
      <w:pPr>
        <w:widowControl w:val="0"/>
        <w:tabs>
          <w:tab w:val="left" w:pos="4320"/>
        </w:tabs>
        <w:spacing w:after="0"/>
      </w:pPr>
    </w:p>
    <w:p w14:paraId="651DC319" w14:textId="77777777" w:rsidR="005E67D3" w:rsidRPr="0019375C" w:rsidRDefault="005E67D3" w:rsidP="00E231FB">
      <w:pPr>
        <w:widowControl w:val="0"/>
        <w:tabs>
          <w:tab w:val="left" w:pos="4320"/>
        </w:tabs>
        <w:spacing w:after="0"/>
      </w:pPr>
    </w:p>
    <w:p w14:paraId="41D28846" w14:textId="77777777" w:rsidR="005E67D3" w:rsidRPr="0019375C" w:rsidRDefault="005E67D3" w:rsidP="00E231FB">
      <w:pPr>
        <w:widowControl w:val="0"/>
        <w:tabs>
          <w:tab w:val="left" w:pos="4320"/>
        </w:tabs>
        <w:spacing w:after="0"/>
      </w:pPr>
      <w:r w:rsidRPr="0019375C">
        <w:tab/>
        <w:t>______________________________</w:t>
      </w:r>
    </w:p>
    <w:p w14:paraId="44C2C3D7" w14:textId="77777777" w:rsidR="005E67D3" w:rsidRPr="0019375C" w:rsidRDefault="005E67D3" w:rsidP="00E231FB">
      <w:pPr>
        <w:widowControl w:val="0"/>
        <w:tabs>
          <w:tab w:val="left" w:pos="4320"/>
        </w:tabs>
        <w:spacing w:after="0"/>
      </w:pPr>
      <w:r w:rsidRPr="0019375C">
        <w:tab/>
        <w:t>Howard V. Fisher</w:t>
      </w:r>
    </w:p>
    <w:p w14:paraId="7EDFE3D9" w14:textId="77777777" w:rsidR="005E67D3" w:rsidRPr="0019375C" w:rsidRDefault="005E67D3" w:rsidP="00E231FB">
      <w:pPr>
        <w:widowControl w:val="0"/>
        <w:tabs>
          <w:tab w:val="left" w:pos="4320"/>
        </w:tabs>
        <w:spacing w:after="0"/>
        <w:ind w:hanging="120"/>
      </w:pPr>
      <w:r w:rsidRPr="0019375C">
        <w:tab/>
      </w:r>
      <w:r w:rsidRPr="0019375C">
        <w:tab/>
        <w:t>State Bar No.  07051500</w:t>
      </w:r>
    </w:p>
    <w:p w14:paraId="6E34E661" w14:textId="77777777" w:rsidR="005E67D3" w:rsidRPr="0019375C" w:rsidRDefault="005E67D3" w:rsidP="00E231FB">
      <w:pPr>
        <w:widowControl w:val="0"/>
        <w:tabs>
          <w:tab w:val="left" w:pos="4320"/>
        </w:tabs>
        <w:spacing w:after="0"/>
        <w:ind w:firstLine="5040"/>
      </w:pPr>
    </w:p>
    <w:p w14:paraId="7E76FC77" w14:textId="77777777" w:rsidR="005E67D3" w:rsidRPr="0019375C" w:rsidRDefault="005E67D3" w:rsidP="00E231FB">
      <w:pPr>
        <w:widowControl w:val="0"/>
        <w:tabs>
          <w:tab w:val="left" w:pos="4320"/>
        </w:tabs>
        <w:spacing w:after="0"/>
        <w:ind w:firstLine="4320"/>
      </w:pPr>
      <w:r w:rsidRPr="0019375C">
        <w:t>Senior Counsel</w:t>
      </w:r>
    </w:p>
    <w:p w14:paraId="35C04A5B" w14:textId="77777777" w:rsidR="005E67D3" w:rsidRPr="0019375C" w:rsidRDefault="005E67D3" w:rsidP="00E231FB">
      <w:pPr>
        <w:widowControl w:val="0"/>
        <w:tabs>
          <w:tab w:val="left" w:pos="4320"/>
        </w:tabs>
        <w:spacing w:after="0"/>
        <w:ind w:firstLine="4320"/>
      </w:pPr>
      <w:r w:rsidRPr="0019375C">
        <w:t>1616 Woodall Rodgers Frwy, Suite 6065</w:t>
      </w:r>
    </w:p>
    <w:p w14:paraId="2CF158E8" w14:textId="77777777" w:rsidR="005E67D3" w:rsidRPr="0019375C" w:rsidRDefault="005E67D3" w:rsidP="00E231FB">
      <w:pPr>
        <w:widowControl w:val="0"/>
        <w:tabs>
          <w:tab w:val="left" w:pos="4320"/>
        </w:tabs>
        <w:spacing w:after="0"/>
        <w:ind w:firstLine="4320"/>
      </w:pPr>
      <w:r w:rsidRPr="0019375C">
        <w:t>Dallas, Texas 75202</w:t>
      </w:r>
    </w:p>
    <w:p w14:paraId="41EC7993" w14:textId="77777777" w:rsidR="005E67D3" w:rsidRPr="0019375C" w:rsidRDefault="005E67D3" w:rsidP="00E231FB">
      <w:pPr>
        <w:widowControl w:val="0"/>
        <w:tabs>
          <w:tab w:val="left" w:pos="4320"/>
        </w:tabs>
        <w:spacing w:after="0"/>
        <w:ind w:firstLine="4320"/>
      </w:pPr>
      <w:r w:rsidRPr="0019375C">
        <w:t>(214) 486-3026</w:t>
      </w:r>
    </w:p>
    <w:p w14:paraId="2800C635" w14:textId="77777777" w:rsidR="005E67D3" w:rsidRDefault="005E67D3" w:rsidP="00E231FB">
      <w:pPr>
        <w:widowControl w:val="0"/>
        <w:tabs>
          <w:tab w:val="left" w:pos="4320"/>
        </w:tabs>
        <w:spacing w:after="0"/>
        <w:ind w:firstLine="4320"/>
      </w:pPr>
      <w:r w:rsidRPr="0019375C">
        <w:t>(214) 486-3221 (Facsimile)</w:t>
      </w:r>
    </w:p>
    <w:p w14:paraId="5F9DE72C" w14:textId="279E53B6" w:rsidR="00E5326D" w:rsidRPr="006E062F" w:rsidRDefault="004210FE" w:rsidP="000D5E8E">
      <w:pPr>
        <w:tabs>
          <w:tab w:val="left" w:pos="4320"/>
        </w:tabs>
        <w:ind w:firstLine="4320"/>
      </w:pPr>
      <w:hyperlink r:id="rId9" w:history="1">
        <w:r w:rsidR="000D5E8E" w:rsidRPr="00E1223A">
          <w:rPr>
            <w:rStyle w:val="Hyperlink"/>
          </w:rPr>
          <w:t>howard.fisher@oncor</w:t>
        </w:r>
      </w:hyperlink>
    </w:p>
    <w:sectPr w:rsidR="00E5326D" w:rsidRPr="006E062F" w:rsidSect="009818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A4444" w14:textId="77777777" w:rsidR="00136114" w:rsidRDefault="00136114" w:rsidP="0098183E">
      <w:pPr>
        <w:spacing w:after="0"/>
      </w:pPr>
      <w:r>
        <w:separator/>
      </w:r>
    </w:p>
  </w:endnote>
  <w:endnote w:type="continuationSeparator" w:id="0">
    <w:p w14:paraId="21DF775B" w14:textId="77777777" w:rsidR="00136114" w:rsidRDefault="00136114" w:rsidP="009818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20D53" w14:textId="77777777" w:rsidR="004210FE" w:rsidRDefault="004210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42936" w14:textId="3BBDB4B2" w:rsidR="00000223" w:rsidRPr="0046599F" w:rsidRDefault="00000223" w:rsidP="0098183E">
    <w:pPr>
      <w:pStyle w:val="Footer"/>
      <w:rPr>
        <w:b/>
        <w:bCs/>
        <w:smallCaps/>
        <w:sz w:val="22"/>
        <w:szCs w:val="22"/>
      </w:rPr>
    </w:pPr>
    <w:r w:rsidRPr="0046599F">
      <w:rPr>
        <w:b/>
        <w:bCs/>
        <w:smallCaps/>
        <w:sz w:val="22"/>
        <w:szCs w:val="22"/>
        <w:u w:val="single"/>
      </w:rPr>
      <w:t>Oncor’s Response to Commission Staff’s Questions for Comment</w:t>
    </w:r>
    <w:r w:rsidRPr="0046599F">
      <w:rPr>
        <w:b/>
        <w:bCs/>
        <w:smallCaps/>
        <w:sz w:val="22"/>
        <w:szCs w:val="22"/>
      </w:rPr>
      <w:t xml:space="preserve"> – Page </w:t>
    </w:r>
    <w:r w:rsidRPr="0046599F">
      <w:rPr>
        <w:b/>
        <w:bCs/>
        <w:smallCaps/>
        <w:sz w:val="22"/>
        <w:szCs w:val="22"/>
      </w:rPr>
      <w:fldChar w:fldCharType="begin"/>
    </w:r>
    <w:r w:rsidRPr="0046599F">
      <w:rPr>
        <w:b/>
        <w:bCs/>
        <w:smallCaps/>
        <w:sz w:val="22"/>
        <w:szCs w:val="22"/>
      </w:rPr>
      <w:instrText xml:space="preserve"> PAGE  \* Arabic  \* MERGEFORMAT </w:instrText>
    </w:r>
    <w:r w:rsidRPr="0046599F">
      <w:rPr>
        <w:b/>
        <w:bCs/>
        <w:smallCaps/>
        <w:sz w:val="22"/>
        <w:szCs w:val="22"/>
      </w:rPr>
      <w:fldChar w:fldCharType="separate"/>
    </w:r>
    <w:r w:rsidR="004210FE">
      <w:rPr>
        <w:b/>
        <w:bCs/>
        <w:smallCaps/>
        <w:noProof/>
        <w:sz w:val="22"/>
        <w:szCs w:val="22"/>
      </w:rPr>
      <w:t>5</w:t>
    </w:r>
    <w:r w:rsidRPr="0046599F">
      <w:rPr>
        <w:b/>
        <w:bCs/>
        <w:smallCaps/>
        <w:sz w:val="22"/>
        <w:szCs w:val="22"/>
      </w:rPr>
      <w:fldChar w:fldCharType="end"/>
    </w:r>
    <w:r w:rsidRPr="0046599F">
      <w:rPr>
        <w:b/>
        <w:bCs/>
        <w:smallCaps/>
        <w:sz w:val="22"/>
        <w:szCs w:val="22"/>
      </w:rPr>
      <w:t xml:space="preserve"> of </w:t>
    </w:r>
    <w:r w:rsidRPr="0046599F">
      <w:rPr>
        <w:b/>
        <w:bCs/>
        <w:smallCaps/>
        <w:sz w:val="22"/>
        <w:szCs w:val="22"/>
      </w:rPr>
      <w:fldChar w:fldCharType="begin"/>
    </w:r>
    <w:r w:rsidRPr="0046599F">
      <w:rPr>
        <w:b/>
        <w:bCs/>
        <w:smallCaps/>
        <w:sz w:val="22"/>
        <w:szCs w:val="22"/>
      </w:rPr>
      <w:instrText xml:space="preserve"> NUMPAGES  \* Arabic  \* MERGEFORMAT </w:instrText>
    </w:r>
    <w:r w:rsidRPr="0046599F">
      <w:rPr>
        <w:b/>
        <w:bCs/>
        <w:smallCaps/>
        <w:sz w:val="22"/>
        <w:szCs w:val="22"/>
      </w:rPr>
      <w:fldChar w:fldCharType="separate"/>
    </w:r>
    <w:r w:rsidR="004210FE">
      <w:rPr>
        <w:b/>
        <w:bCs/>
        <w:smallCaps/>
        <w:noProof/>
        <w:sz w:val="22"/>
        <w:szCs w:val="22"/>
      </w:rPr>
      <w:t>5</w:t>
    </w:r>
    <w:r w:rsidRPr="0046599F">
      <w:rPr>
        <w:b/>
        <w:bCs/>
        <w:smallCap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2C0A" w14:textId="77777777" w:rsidR="004210FE" w:rsidRDefault="004210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7B7E3E" w14:textId="77777777" w:rsidR="00136114" w:rsidRDefault="00136114" w:rsidP="0098183E">
      <w:pPr>
        <w:spacing w:after="0"/>
      </w:pPr>
      <w:r>
        <w:separator/>
      </w:r>
    </w:p>
  </w:footnote>
  <w:footnote w:type="continuationSeparator" w:id="0">
    <w:p w14:paraId="41FC22B3" w14:textId="77777777" w:rsidR="00136114" w:rsidRDefault="00136114" w:rsidP="009818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B580C" w14:textId="77777777" w:rsidR="004210FE" w:rsidRDefault="004210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097B1" w14:textId="77777777" w:rsidR="004210FE" w:rsidRDefault="004210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EA541" w14:textId="77777777" w:rsidR="004210FE" w:rsidRDefault="004210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DE08B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78C685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C352A7"/>
    <w:multiLevelType w:val="hybridMultilevel"/>
    <w:tmpl w:val="32E8755A"/>
    <w:lvl w:ilvl="0" w:tplc="F918909A">
      <w:start w:val="1"/>
      <w:numFmt w:val="bullet"/>
      <w:lvlRestart w:val="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AD3"/>
    <w:multiLevelType w:val="hybridMultilevel"/>
    <w:tmpl w:val="69D80134"/>
    <w:lvl w:ilvl="0" w:tplc="29282642">
      <w:start w:val="1"/>
      <w:numFmt w:val="bullet"/>
      <w:lvlRestart w:val="0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ED0B0A"/>
    <w:multiLevelType w:val="hybridMultilevel"/>
    <w:tmpl w:val="F92A7FDE"/>
    <w:lvl w:ilvl="0" w:tplc="F1E8F8A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838EE"/>
    <w:multiLevelType w:val="hybridMultilevel"/>
    <w:tmpl w:val="91EA5138"/>
    <w:lvl w:ilvl="0" w:tplc="6EFE731C">
      <w:start w:val="1"/>
      <w:numFmt w:val="decimal"/>
      <w:lvlRestart w:val="0"/>
      <w:pStyle w:val="LN1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A1F91"/>
    <w:multiLevelType w:val="hybridMultilevel"/>
    <w:tmpl w:val="D5300AB2"/>
    <w:lvl w:ilvl="0" w:tplc="0B40DC6C">
      <w:start w:val="1"/>
      <w:numFmt w:val="bullet"/>
      <w:lvlRestart w:val="0"/>
      <w:pStyle w:val="LB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3496C"/>
    <w:multiLevelType w:val="hybridMultilevel"/>
    <w:tmpl w:val="CC741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441D5533"/>
    <w:multiLevelType w:val="hybridMultilevel"/>
    <w:tmpl w:val="B5F4F424"/>
    <w:lvl w:ilvl="0" w:tplc="A392B9AC">
      <w:start w:val="1"/>
      <w:numFmt w:val="bullet"/>
      <w:lvlRestart w:val="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0950"/>
    <w:multiLevelType w:val="hybridMultilevel"/>
    <w:tmpl w:val="E96A1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95231"/>
    <w:multiLevelType w:val="hybridMultilevel"/>
    <w:tmpl w:val="2786B74A"/>
    <w:lvl w:ilvl="0" w:tplc="4858A3E6">
      <w:start w:val="1"/>
      <w:numFmt w:val="upperLetter"/>
      <w:pStyle w:val="LN2ListNumb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32ADA"/>
    <w:multiLevelType w:val="hybridMultilevel"/>
    <w:tmpl w:val="55B0A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6"/>
  </w:num>
  <w:num w:numId="5">
    <w:abstractNumId w:val="5"/>
  </w:num>
  <w:num w:numId="6">
    <w:abstractNumId w:val="10"/>
  </w:num>
  <w:num w:numId="7">
    <w:abstractNumId w:val="4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11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62F"/>
    <w:rsid w:val="00000223"/>
    <w:rsid w:val="00000611"/>
    <w:rsid w:val="00043781"/>
    <w:rsid w:val="00067612"/>
    <w:rsid w:val="0009559C"/>
    <w:rsid w:val="000C6555"/>
    <w:rsid w:val="000D5E8E"/>
    <w:rsid w:val="00122BE1"/>
    <w:rsid w:val="00136114"/>
    <w:rsid w:val="00152E10"/>
    <w:rsid w:val="00186048"/>
    <w:rsid w:val="001D6DDE"/>
    <w:rsid w:val="001E3227"/>
    <w:rsid w:val="001F3E49"/>
    <w:rsid w:val="002137C3"/>
    <w:rsid w:val="00225953"/>
    <w:rsid w:val="00244FF5"/>
    <w:rsid w:val="00266ACE"/>
    <w:rsid w:val="0027675C"/>
    <w:rsid w:val="002E0041"/>
    <w:rsid w:val="00303388"/>
    <w:rsid w:val="00321F63"/>
    <w:rsid w:val="00381786"/>
    <w:rsid w:val="00381DF8"/>
    <w:rsid w:val="003C281D"/>
    <w:rsid w:val="003E1AD3"/>
    <w:rsid w:val="003F003F"/>
    <w:rsid w:val="00401CB0"/>
    <w:rsid w:val="00401E96"/>
    <w:rsid w:val="00410724"/>
    <w:rsid w:val="00413DE4"/>
    <w:rsid w:val="004210FE"/>
    <w:rsid w:val="0046599F"/>
    <w:rsid w:val="00476BFD"/>
    <w:rsid w:val="00481562"/>
    <w:rsid w:val="0048692E"/>
    <w:rsid w:val="004B69B2"/>
    <w:rsid w:val="004C069E"/>
    <w:rsid w:val="004C6909"/>
    <w:rsid w:val="004D23AA"/>
    <w:rsid w:val="004E0805"/>
    <w:rsid w:val="004E1223"/>
    <w:rsid w:val="004F6C9A"/>
    <w:rsid w:val="005025FB"/>
    <w:rsid w:val="00510086"/>
    <w:rsid w:val="00521A3D"/>
    <w:rsid w:val="00537B9C"/>
    <w:rsid w:val="0056319F"/>
    <w:rsid w:val="005756D9"/>
    <w:rsid w:val="005B4257"/>
    <w:rsid w:val="005D50B1"/>
    <w:rsid w:val="005E67D3"/>
    <w:rsid w:val="005F238C"/>
    <w:rsid w:val="005F2C03"/>
    <w:rsid w:val="00614281"/>
    <w:rsid w:val="00630D8D"/>
    <w:rsid w:val="006357BD"/>
    <w:rsid w:val="0065372E"/>
    <w:rsid w:val="0066766F"/>
    <w:rsid w:val="00686008"/>
    <w:rsid w:val="00696854"/>
    <w:rsid w:val="006C3E90"/>
    <w:rsid w:val="006E062F"/>
    <w:rsid w:val="006E2160"/>
    <w:rsid w:val="006E73BA"/>
    <w:rsid w:val="00712607"/>
    <w:rsid w:val="007506BA"/>
    <w:rsid w:val="00765790"/>
    <w:rsid w:val="007C4DB7"/>
    <w:rsid w:val="00820C6B"/>
    <w:rsid w:val="00847B80"/>
    <w:rsid w:val="00861B68"/>
    <w:rsid w:val="008726CB"/>
    <w:rsid w:val="00875873"/>
    <w:rsid w:val="00880727"/>
    <w:rsid w:val="008A0065"/>
    <w:rsid w:val="008B399A"/>
    <w:rsid w:val="00921B74"/>
    <w:rsid w:val="00932252"/>
    <w:rsid w:val="00950BB6"/>
    <w:rsid w:val="0095217A"/>
    <w:rsid w:val="00970B16"/>
    <w:rsid w:val="0098183E"/>
    <w:rsid w:val="009B7913"/>
    <w:rsid w:val="009D1888"/>
    <w:rsid w:val="00A1276C"/>
    <w:rsid w:val="00A2602F"/>
    <w:rsid w:val="00A26502"/>
    <w:rsid w:val="00A74E8F"/>
    <w:rsid w:val="00A82C1D"/>
    <w:rsid w:val="00A9223B"/>
    <w:rsid w:val="00A93232"/>
    <w:rsid w:val="00B26860"/>
    <w:rsid w:val="00B37BCF"/>
    <w:rsid w:val="00B41E77"/>
    <w:rsid w:val="00B502F4"/>
    <w:rsid w:val="00B93FFB"/>
    <w:rsid w:val="00BB4F3C"/>
    <w:rsid w:val="00BF2F44"/>
    <w:rsid w:val="00C00D0B"/>
    <w:rsid w:val="00C67981"/>
    <w:rsid w:val="00C74E32"/>
    <w:rsid w:val="00CB719B"/>
    <w:rsid w:val="00CC00FF"/>
    <w:rsid w:val="00CE4F53"/>
    <w:rsid w:val="00D412C8"/>
    <w:rsid w:val="00D855CF"/>
    <w:rsid w:val="00D929EF"/>
    <w:rsid w:val="00DA000E"/>
    <w:rsid w:val="00DB0DBF"/>
    <w:rsid w:val="00DC0578"/>
    <w:rsid w:val="00E14B2D"/>
    <w:rsid w:val="00E14D06"/>
    <w:rsid w:val="00E22A61"/>
    <w:rsid w:val="00E231FB"/>
    <w:rsid w:val="00E3531D"/>
    <w:rsid w:val="00E435D3"/>
    <w:rsid w:val="00E45617"/>
    <w:rsid w:val="00E5326D"/>
    <w:rsid w:val="00EA4375"/>
    <w:rsid w:val="00EA574E"/>
    <w:rsid w:val="00EE10C4"/>
    <w:rsid w:val="00EE4566"/>
    <w:rsid w:val="00F0286F"/>
    <w:rsid w:val="00F3368E"/>
    <w:rsid w:val="00F472E0"/>
    <w:rsid w:val="00F74AA9"/>
    <w:rsid w:val="00FF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1CE3F81"/>
  <w15:chartTrackingRefBased/>
  <w15:docId w15:val="{F18788BC-7CF4-4EA2-B5DF-01E3EB9F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B16"/>
    <w:pPr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929EF"/>
    <w:pPr>
      <w:keepNext/>
      <w:keepLines/>
      <w:outlineLvl w:val="0"/>
    </w:pPr>
    <w:rPr>
      <w:rFonts w:eastAsiaTheme="majorEastAsia" w:cstheme="majorBidi"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D929EF"/>
    <w:pPr>
      <w:keepNext/>
      <w:keepLines/>
      <w:ind w:left="720"/>
      <w:outlineLvl w:val="1"/>
    </w:pPr>
    <w:rPr>
      <w:rFonts w:eastAsiaTheme="majorEastAsia" w:cstheme="majorBidi"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D929EF"/>
    <w:pPr>
      <w:keepNext/>
      <w:keepLines/>
      <w:ind w:left="1440"/>
      <w:outlineLvl w:val="2"/>
    </w:pPr>
    <w:rPr>
      <w:rFonts w:eastAsiaTheme="majorEastAsia" w:cstheme="majorBidi"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D929EF"/>
    <w:pPr>
      <w:keepNext/>
      <w:keepLines/>
      <w:ind w:left="2160"/>
      <w:outlineLvl w:val="3"/>
    </w:pPr>
    <w:rPr>
      <w:rFonts w:eastAsiaTheme="majorEastAsia" w:cstheme="majorBidi"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D929EF"/>
    <w:pPr>
      <w:keepNext/>
      <w:keepLines/>
      <w:ind w:left="288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D929EF"/>
    <w:pPr>
      <w:keepNext/>
      <w:keepLines/>
      <w:ind w:left="3600"/>
      <w:outlineLvl w:val="5"/>
    </w:pPr>
    <w:rPr>
      <w:rFonts w:eastAsiaTheme="majorEastAsia" w:cstheme="majorBidi"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D929EF"/>
    <w:pPr>
      <w:keepNext/>
      <w:keepLines/>
      <w:ind w:left="4320"/>
      <w:outlineLvl w:val="6"/>
    </w:pPr>
    <w:rPr>
      <w:rFonts w:eastAsiaTheme="majorEastAsia" w:cstheme="majorBidi"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D929EF"/>
    <w:pPr>
      <w:keepNext/>
      <w:keepLines/>
      <w:ind w:left="5040"/>
      <w:outlineLvl w:val="7"/>
    </w:pPr>
    <w:rPr>
      <w:rFonts w:eastAsiaTheme="majorEastAsia" w:cstheme="majorBidi"/>
      <w:color w:val="000000" w:themeColor="text1"/>
      <w:szCs w:val="21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D929EF"/>
    <w:pPr>
      <w:keepNext/>
      <w:keepLines/>
      <w:ind w:left="5760"/>
      <w:outlineLvl w:val="8"/>
    </w:pPr>
    <w:rPr>
      <w:rFonts w:eastAsiaTheme="majorEastAsia" w:cstheme="majorBidi"/>
      <w:i/>
      <w:iCs/>
      <w:color w:val="000000" w:themeColor="tex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BodyText">
    <w:name w:val="BT Body Text"/>
    <w:basedOn w:val="Normal"/>
    <w:uiPriority w:val="1"/>
    <w:qFormat/>
    <w:rsid w:val="00D929EF"/>
  </w:style>
  <w:style w:type="paragraph" w:customStyle="1" w:styleId="BTDBodyTextDouble">
    <w:name w:val="BTD Body Text Double"/>
    <w:basedOn w:val="Normal"/>
    <w:uiPriority w:val="1"/>
    <w:qFormat/>
    <w:rsid w:val="00D929EF"/>
    <w:pPr>
      <w:spacing w:after="0" w:line="480" w:lineRule="auto"/>
    </w:pPr>
  </w:style>
  <w:style w:type="paragraph" w:customStyle="1" w:styleId="BLBlock">
    <w:name w:val="BL Block"/>
    <w:basedOn w:val="Normal"/>
    <w:uiPriority w:val="1"/>
    <w:qFormat/>
    <w:rsid w:val="00D929EF"/>
    <w:pPr>
      <w:ind w:left="1440" w:right="1440"/>
    </w:pPr>
  </w:style>
  <w:style w:type="paragraph" w:customStyle="1" w:styleId="BTDFLBodyTextDoubleFLI">
    <w:name w:val="BTDFL Body Text Double FLI"/>
    <w:basedOn w:val="Normal"/>
    <w:uiPriority w:val="1"/>
    <w:qFormat/>
    <w:rsid w:val="00D929EF"/>
    <w:pPr>
      <w:spacing w:after="0" w:line="480" w:lineRule="auto"/>
      <w:ind w:firstLine="720"/>
    </w:pPr>
  </w:style>
  <w:style w:type="paragraph" w:customStyle="1" w:styleId="BTFIBodyTextFirstIndent">
    <w:name w:val="BTFI Body Text First Indent"/>
    <w:basedOn w:val="Normal"/>
    <w:uiPriority w:val="1"/>
    <w:qFormat/>
    <w:rsid w:val="00D929EF"/>
    <w:pPr>
      <w:ind w:firstLine="720"/>
    </w:pPr>
  </w:style>
  <w:style w:type="paragraph" w:customStyle="1" w:styleId="BTFI2BodyTextFirstIndent10">
    <w:name w:val="BTFI2 Body Text First Indent 1.0"/>
    <w:basedOn w:val="Normal"/>
    <w:uiPriority w:val="1"/>
    <w:qFormat/>
    <w:rsid w:val="00D929EF"/>
    <w:pPr>
      <w:ind w:firstLine="1440"/>
    </w:pPr>
  </w:style>
  <w:style w:type="paragraph" w:customStyle="1" w:styleId="BTIBodyTextIndent5">
    <w:name w:val="BTI Body Text Indent .5"/>
    <w:basedOn w:val="Normal"/>
    <w:uiPriority w:val="1"/>
    <w:qFormat/>
    <w:rsid w:val="00D929EF"/>
    <w:pPr>
      <w:ind w:left="720"/>
    </w:pPr>
  </w:style>
  <w:style w:type="paragraph" w:customStyle="1" w:styleId="BTI2BodyTextHangIndent">
    <w:name w:val="BTI2 Body Text Hang Indent"/>
    <w:basedOn w:val="Normal"/>
    <w:uiPriority w:val="1"/>
    <w:qFormat/>
    <w:rsid w:val="00D929EF"/>
    <w:pPr>
      <w:ind w:left="720" w:hanging="720"/>
    </w:pPr>
  </w:style>
  <w:style w:type="paragraph" w:customStyle="1" w:styleId="BTI4BodyTextIndent15">
    <w:name w:val="BTI4 Body Text Indent 1.5"/>
    <w:basedOn w:val="Normal"/>
    <w:uiPriority w:val="1"/>
    <w:qFormat/>
    <w:rsid w:val="00D929EF"/>
    <w:pPr>
      <w:ind w:left="2160"/>
    </w:pPr>
  </w:style>
  <w:style w:type="paragraph" w:customStyle="1" w:styleId="BTI5BodyTextIndent20">
    <w:name w:val="BTI5 Body Text Indent 2.0"/>
    <w:basedOn w:val="Normal"/>
    <w:uiPriority w:val="1"/>
    <w:qFormat/>
    <w:rsid w:val="00D929EF"/>
    <w:pPr>
      <w:ind w:left="2880"/>
    </w:pPr>
  </w:style>
  <w:style w:type="paragraph" w:customStyle="1" w:styleId="BTNSBodyTextNoSpace">
    <w:name w:val="BTNS Body Text No Space"/>
    <w:basedOn w:val="Normal"/>
    <w:uiPriority w:val="1"/>
    <w:qFormat/>
    <w:rsid w:val="00D929EF"/>
    <w:pPr>
      <w:spacing w:after="0"/>
    </w:pPr>
  </w:style>
  <w:style w:type="paragraph" w:customStyle="1" w:styleId="CSCaseStyle">
    <w:name w:val="CS Case Style"/>
    <w:basedOn w:val="Normal"/>
    <w:uiPriority w:val="1"/>
    <w:qFormat/>
    <w:rsid w:val="00D929EF"/>
    <w:pPr>
      <w:tabs>
        <w:tab w:val="left" w:pos="2160"/>
        <w:tab w:val="center" w:pos="4680"/>
        <w:tab w:val="left" w:pos="6120"/>
        <w:tab w:val="right" w:pos="9360"/>
      </w:tabs>
      <w:spacing w:after="0"/>
    </w:pPr>
  </w:style>
  <w:style w:type="paragraph" w:customStyle="1" w:styleId="CTCenteredText">
    <w:name w:val="CT Centered Text"/>
    <w:basedOn w:val="Normal"/>
    <w:uiPriority w:val="1"/>
    <w:qFormat/>
    <w:rsid w:val="00D929EF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9"/>
    <w:rsid w:val="00D929EF"/>
    <w:rPr>
      <w:rFonts w:eastAsiaTheme="majorEastAsia" w:cstheme="majorBidi"/>
      <w:color w:val="000000" w:themeColor="text1"/>
      <w:szCs w:val="32"/>
    </w:rPr>
  </w:style>
  <w:style w:type="paragraph" w:customStyle="1" w:styleId="LBListBullet">
    <w:name w:val="LB ListBullet"/>
    <w:basedOn w:val="Normal"/>
    <w:uiPriority w:val="1"/>
    <w:qFormat/>
    <w:rsid w:val="00D929EF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semiHidden/>
    <w:rsid w:val="00D929EF"/>
    <w:rPr>
      <w:rFonts w:eastAsiaTheme="majorEastAsia" w:cstheme="majorBidi"/>
      <w:color w:val="000000" w:themeColor="text1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D929EF"/>
    <w:rPr>
      <w:rFonts w:eastAsiaTheme="majorEastAsia" w:cstheme="majorBidi"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D929EF"/>
    <w:rPr>
      <w:rFonts w:eastAsiaTheme="majorEastAsia" w:cstheme="majorBidi"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D929EF"/>
    <w:rPr>
      <w:rFonts w:eastAsiaTheme="majorEastAsia" w:cstheme="majorBidi"/>
      <w:color w:val="000000" w:themeColor="text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D929EF"/>
    <w:rPr>
      <w:rFonts w:eastAsiaTheme="majorEastAsia" w:cstheme="majorBidi"/>
      <w:i/>
      <w:iCs/>
      <w:color w:val="000000" w:themeColor="text1"/>
      <w:szCs w:val="21"/>
    </w:rPr>
  </w:style>
  <w:style w:type="paragraph" w:customStyle="1" w:styleId="LN1ListNumber">
    <w:name w:val="LN1 ListNumber"/>
    <w:basedOn w:val="Normal"/>
    <w:uiPriority w:val="1"/>
    <w:qFormat/>
    <w:rsid w:val="00D929EF"/>
    <w:pPr>
      <w:numPr>
        <w:numId w:val="5"/>
      </w:numPr>
    </w:pPr>
  </w:style>
  <w:style w:type="paragraph" w:customStyle="1" w:styleId="LN2ListNumber">
    <w:name w:val="LN2 ListNumber"/>
    <w:basedOn w:val="Normal"/>
    <w:uiPriority w:val="1"/>
    <w:qFormat/>
    <w:rsid w:val="00D929EF"/>
    <w:pPr>
      <w:numPr>
        <w:numId w:val="6"/>
      </w:numPr>
    </w:pPr>
  </w:style>
  <w:style w:type="paragraph" w:customStyle="1" w:styleId="Q5BodyTextQuote5">
    <w:name w:val="Q.5 Body Text Quote.5"/>
    <w:basedOn w:val="Normal"/>
    <w:uiPriority w:val="1"/>
    <w:qFormat/>
    <w:rsid w:val="00D929EF"/>
    <w:pPr>
      <w:ind w:left="720" w:right="720"/>
    </w:pPr>
  </w:style>
  <w:style w:type="paragraph" w:customStyle="1" w:styleId="Q1BodyTextQuote1">
    <w:name w:val="Q1 Body Text Quote 1"/>
    <w:basedOn w:val="Normal"/>
    <w:uiPriority w:val="1"/>
    <w:qFormat/>
    <w:rsid w:val="00D929EF"/>
    <w:pPr>
      <w:ind w:left="1440" w:right="1440"/>
    </w:pPr>
  </w:style>
  <w:style w:type="paragraph" w:customStyle="1" w:styleId="SBBSignatureBlockBoth">
    <w:name w:val="SBB Signature Block Both"/>
    <w:basedOn w:val="Normal"/>
    <w:uiPriority w:val="1"/>
    <w:qFormat/>
    <w:rsid w:val="00D929EF"/>
    <w:pPr>
      <w:tabs>
        <w:tab w:val="left" w:pos="1080"/>
        <w:tab w:val="right" w:leader="underscore" w:pos="4320"/>
        <w:tab w:val="left" w:pos="6120"/>
        <w:tab w:val="right" w:leader="underscore" w:pos="9360"/>
      </w:tabs>
      <w:spacing w:after="0"/>
    </w:pPr>
  </w:style>
  <w:style w:type="paragraph" w:customStyle="1" w:styleId="SBLSignatureBlockLeft">
    <w:name w:val="SBL Signature Block Left"/>
    <w:basedOn w:val="Normal"/>
    <w:uiPriority w:val="1"/>
    <w:qFormat/>
    <w:rsid w:val="00D929EF"/>
    <w:pPr>
      <w:tabs>
        <w:tab w:val="left" w:pos="1080"/>
        <w:tab w:val="right" w:leader="underscore" w:pos="4320"/>
      </w:tabs>
      <w:spacing w:after="0"/>
    </w:pPr>
  </w:style>
  <w:style w:type="paragraph" w:customStyle="1" w:styleId="SBRSignatureBlockRight">
    <w:name w:val="SBR Signature Block Right"/>
    <w:basedOn w:val="Normal"/>
    <w:uiPriority w:val="1"/>
    <w:qFormat/>
    <w:rsid w:val="00476BFD"/>
    <w:pPr>
      <w:tabs>
        <w:tab w:val="left" w:pos="5040"/>
        <w:tab w:val="right" w:leader="underscore" w:pos="9360"/>
      </w:tabs>
      <w:spacing w:after="0"/>
      <w:ind w:left="4320"/>
      <w:jc w:val="left"/>
    </w:pPr>
  </w:style>
  <w:style w:type="paragraph" w:customStyle="1" w:styleId="SBTSignatureBlockText">
    <w:name w:val="SBT Signature Block Text"/>
    <w:basedOn w:val="Normal"/>
    <w:uiPriority w:val="1"/>
    <w:qFormat/>
    <w:rsid w:val="006357BD"/>
    <w:pPr>
      <w:tabs>
        <w:tab w:val="left" w:pos="1080"/>
        <w:tab w:val="left" w:pos="6120"/>
      </w:tabs>
      <w:jc w:val="left"/>
    </w:pPr>
  </w:style>
  <w:style w:type="paragraph" w:customStyle="1" w:styleId="SUSubtitle">
    <w:name w:val="SU Subtitle"/>
    <w:basedOn w:val="Normal"/>
    <w:next w:val="BTBodyText"/>
    <w:uiPriority w:val="1"/>
    <w:qFormat/>
    <w:rsid w:val="00EA4375"/>
    <w:pPr>
      <w:keepNext/>
      <w:jc w:val="center"/>
      <w:outlineLvl w:val="1"/>
    </w:pPr>
    <w:rPr>
      <w:b/>
    </w:rPr>
  </w:style>
  <w:style w:type="paragraph" w:customStyle="1" w:styleId="TBCTitleBoldCenter">
    <w:name w:val="TBC Title Bold Center"/>
    <w:basedOn w:val="Normal"/>
    <w:next w:val="Normal"/>
    <w:uiPriority w:val="2"/>
    <w:qFormat/>
    <w:rsid w:val="00D929EF"/>
    <w:pPr>
      <w:keepNext/>
      <w:jc w:val="center"/>
      <w:outlineLvl w:val="0"/>
    </w:pPr>
    <w:rPr>
      <w:b/>
    </w:rPr>
  </w:style>
  <w:style w:type="paragraph" w:customStyle="1" w:styleId="TBCUTitleBoldCenterUnderline">
    <w:name w:val="TBCU Title Bold Center Underline"/>
    <w:basedOn w:val="Normal"/>
    <w:next w:val="Normal"/>
    <w:uiPriority w:val="2"/>
    <w:qFormat/>
    <w:rsid w:val="00D929EF"/>
    <w:pPr>
      <w:keepNext/>
      <w:jc w:val="center"/>
      <w:outlineLvl w:val="0"/>
    </w:pPr>
    <w:rPr>
      <w:b/>
      <w:u w:val="single"/>
    </w:rPr>
  </w:style>
  <w:style w:type="paragraph" w:customStyle="1" w:styleId="TITitle">
    <w:name w:val="TI Title"/>
    <w:basedOn w:val="Normal"/>
    <w:next w:val="Normal"/>
    <w:uiPriority w:val="2"/>
    <w:qFormat/>
    <w:rsid w:val="00EA4375"/>
    <w:pPr>
      <w:keepNext/>
      <w:jc w:val="center"/>
    </w:pPr>
    <w:rPr>
      <w:b/>
      <w:kern w:val="28"/>
      <w:sz w:val="28"/>
    </w:rPr>
  </w:style>
  <w:style w:type="paragraph" w:styleId="Header">
    <w:name w:val="header"/>
    <w:basedOn w:val="Normal"/>
    <w:link w:val="HeaderChar"/>
    <w:uiPriority w:val="99"/>
    <w:semiHidden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6555"/>
  </w:style>
  <w:style w:type="paragraph" w:styleId="Footer">
    <w:name w:val="footer"/>
    <w:basedOn w:val="Normal"/>
    <w:link w:val="FooterChar"/>
    <w:uiPriority w:val="2"/>
    <w:semiHidden/>
    <w:rsid w:val="00D929E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2"/>
    <w:semiHidden/>
    <w:rsid w:val="000C6555"/>
  </w:style>
  <w:style w:type="character" w:customStyle="1" w:styleId="DocID">
    <w:name w:val="DocID"/>
    <w:basedOn w:val="DefaultParagraphFont"/>
    <w:uiPriority w:val="99"/>
    <w:semiHidden/>
    <w:rsid w:val="004C6909"/>
    <w:rPr>
      <w:sz w:val="18"/>
    </w:rPr>
  </w:style>
  <w:style w:type="paragraph" w:customStyle="1" w:styleId="BTI3BodyTextIndent10">
    <w:name w:val="BTI3 Body Text Indent 1.0"/>
    <w:basedOn w:val="Normal"/>
    <w:uiPriority w:val="1"/>
    <w:qFormat/>
    <w:rsid w:val="00D929EF"/>
    <w:pPr>
      <w:ind w:left="1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D929EF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929EF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929EF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929EF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929EF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929EF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929EF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929EF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929EF"/>
    <w:pPr>
      <w:spacing w:after="0"/>
      <w:ind w:left="2160" w:hanging="2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D929EF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929EF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929EF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929E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929E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929E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929E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929E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929EF"/>
    <w:pPr>
      <w:spacing w:after="100"/>
      <w:ind w:left="1920"/>
    </w:pPr>
  </w:style>
  <w:style w:type="paragraph" w:styleId="NormalIndent">
    <w:name w:val="Normal Indent"/>
    <w:basedOn w:val="Normal"/>
    <w:uiPriority w:val="99"/>
    <w:semiHidden/>
    <w:unhideWhenUsed/>
    <w:rsid w:val="00D929EF"/>
    <w:pPr>
      <w:ind w:left="72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9EF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9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9EF"/>
    <w:rPr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D929EF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29EF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D929EF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rsid w:val="00D929E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929EF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929E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29EF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D929EF"/>
  </w:style>
  <w:style w:type="character" w:styleId="PageNumber">
    <w:name w:val="page number"/>
    <w:basedOn w:val="DefaultParagraphFont"/>
    <w:uiPriority w:val="99"/>
    <w:semiHidden/>
    <w:unhideWhenUsed/>
    <w:rsid w:val="00D929EF"/>
  </w:style>
  <w:style w:type="character" w:styleId="EndnoteReference">
    <w:name w:val="endnote reference"/>
    <w:basedOn w:val="DefaultParagraphFont"/>
    <w:uiPriority w:val="99"/>
    <w:semiHidden/>
    <w:unhideWhenUsed/>
    <w:rsid w:val="00D929E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929E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29EF"/>
    <w:rPr>
      <w:sz w:val="20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29EF"/>
    <w:pPr>
      <w:spacing w:after="0"/>
      <w:ind w:left="240" w:hanging="240"/>
    </w:pPr>
  </w:style>
  <w:style w:type="paragraph" w:styleId="MacroText">
    <w:name w:val="macro"/>
    <w:link w:val="MacroTextChar"/>
    <w:uiPriority w:val="99"/>
    <w:semiHidden/>
    <w:unhideWhenUsed/>
    <w:rsid w:val="00D92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929EF"/>
    <w:rPr>
      <w:rFonts w:ascii="Consolas" w:hAnsi="Consolas" w:cs="Consolas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D929E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D929E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0C6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iPriority w:val="99"/>
    <w:semiHidden/>
    <w:unhideWhenUsed/>
    <w:rsid w:val="00D929E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29EF"/>
  </w:style>
  <w:style w:type="paragraph" w:styleId="Signature">
    <w:name w:val="Signature"/>
    <w:basedOn w:val="Normal"/>
    <w:link w:val="SignatureChar"/>
    <w:uiPriority w:val="99"/>
    <w:semiHidden/>
    <w:unhideWhenUsed/>
    <w:rsid w:val="00D929E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29EF"/>
  </w:style>
  <w:style w:type="paragraph" w:styleId="BodyText">
    <w:name w:val="Body Text"/>
    <w:basedOn w:val="Normal"/>
    <w:link w:val="BodyTextChar"/>
    <w:uiPriority w:val="99"/>
    <w:semiHidden/>
    <w:unhideWhenUsed/>
    <w:rsid w:val="00D929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929EF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29E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29EF"/>
  </w:style>
  <w:style w:type="paragraph" w:styleId="MessageHeader">
    <w:name w:val="Message Header"/>
    <w:basedOn w:val="Normal"/>
    <w:link w:val="MessageHeaderChar"/>
    <w:uiPriority w:val="99"/>
    <w:semiHidden/>
    <w:unhideWhenUsed/>
    <w:rsid w:val="00D929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29EF"/>
    <w:rPr>
      <w:rFonts w:asciiTheme="majorHAnsi" w:eastAsiaTheme="majorEastAsia" w:hAnsiTheme="majorHAnsi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929E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0C6555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29E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29EF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29EF"/>
  </w:style>
  <w:style w:type="character" w:customStyle="1" w:styleId="DateChar">
    <w:name w:val="Date Char"/>
    <w:basedOn w:val="DefaultParagraphFont"/>
    <w:link w:val="Date"/>
    <w:uiPriority w:val="99"/>
    <w:semiHidden/>
    <w:rsid w:val="00D929EF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29EF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29EF"/>
    <w:pPr>
      <w:spacing w:after="24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29EF"/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29EF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29EF"/>
  </w:style>
  <w:style w:type="paragraph" w:styleId="BodyText2">
    <w:name w:val="Body Text 2"/>
    <w:basedOn w:val="Normal"/>
    <w:link w:val="BodyText2Char"/>
    <w:uiPriority w:val="99"/>
    <w:semiHidden/>
    <w:unhideWhenUsed/>
    <w:rsid w:val="00D929E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29EF"/>
  </w:style>
  <w:style w:type="paragraph" w:styleId="BodyText3">
    <w:name w:val="Body Text 3"/>
    <w:basedOn w:val="Normal"/>
    <w:link w:val="BodyText3Char"/>
    <w:uiPriority w:val="99"/>
    <w:semiHidden/>
    <w:unhideWhenUsed/>
    <w:rsid w:val="00D929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29EF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29E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29EF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29E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29EF"/>
    <w:rPr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rsid w:val="00D929EF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character" w:styleId="Hyperlink">
    <w:name w:val="Hyperlink"/>
    <w:basedOn w:val="DefaultParagraphFont"/>
    <w:unhideWhenUsed/>
    <w:rsid w:val="00D929E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29EF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semiHidden/>
    <w:qFormat/>
    <w:rsid w:val="00D929EF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D929EF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929E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29EF"/>
    <w:rPr>
      <w:rFonts w:ascii="Segoe UI" w:hAnsi="Segoe UI" w:cs="Segoe UI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29E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29EF"/>
    <w:rPr>
      <w:rFonts w:ascii="Consolas" w:hAnsi="Consolas" w:cs="Consolas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29E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29EF"/>
  </w:style>
  <w:style w:type="paragraph" w:styleId="NormalWeb">
    <w:name w:val="Normal (Web)"/>
    <w:basedOn w:val="Normal"/>
    <w:uiPriority w:val="99"/>
    <w:semiHidden/>
    <w:unhideWhenUsed/>
    <w:rsid w:val="00D929EF"/>
    <w:rPr>
      <w:rFonts w:cs="Times New Roman"/>
    </w:rPr>
  </w:style>
  <w:style w:type="character" w:styleId="HTMLAcronym">
    <w:name w:val="HTML Acronym"/>
    <w:basedOn w:val="DefaultParagraphFont"/>
    <w:uiPriority w:val="99"/>
    <w:semiHidden/>
    <w:unhideWhenUsed/>
    <w:rsid w:val="00D929EF"/>
  </w:style>
  <w:style w:type="paragraph" w:styleId="HTMLAddress">
    <w:name w:val="HTML Address"/>
    <w:basedOn w:val="Normal"/>
    <w:link w:val="HTMLAddressChar"/>
    <w:uiPriority w:val="99"/>
    <w:semiHidden/>
    <w:unhideWhenUsed/>
    <w:rsid w:val="00D929E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29EF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929E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929E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29EF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29EF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929EF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929EF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929EF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9E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9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9EF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929EF"/>
    <w:rPr>
      <w:color w:val="808080"/>
    </w:rPr>
  </w:style>
  <w:style w:type="paragraph" w:styleId="NoSpacing">
    <w:name w:val="No Spacing"/>
    <w:uiPriority w:val="1"/>
    <w:semiHidden/>
    <w:qFormat/>
    <w:rsid w:val="00D929EF"/>
    <w:pPr>
      <w:spacing w:after="0"/>
      <w:jc w:val="both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D929E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C6555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D929E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0C6555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semiHidden/>
    <w:qFormat/>
    <w:rsid w:val="00D929E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semiHidden/>
    <w:qFormat/>
    <w:rsid w:val="00D929EF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semiHidden/>
    <w:qFormat/>
    <w:rsid w:val="00D929EF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semiHidden/>
    <w:qFormat/>
    <w:rsid w:val="00D929EF"/>
    <w:rPr>
      <w:b/>
      <w:bCs/>
      <w:smallCaps/>
      <w:color w:val="5B9BD5" w:themeColor="accent1"/>
      <w:spacing w:val="5"/>
    </w:rPr>
  </w:style>
  <w:style w:type="character" w:styleId="BookTitle">
    <w:name w:val="Book Title"/>
    <w:basedOn w:val="DefaultParagraphFont"/>
    <w:uiPriority w:val="33"/>
    <w:semiHidden/>
    <w:qFormat/>
    <w:rsid w:val="00D929EF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29E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29EF"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</w:rPr>
  </w:style>
  <w:style w:type="character" w:customStyle="1" w:styleId="Hashtag">
    <w:name w:val="Hashtag"/>
    <w:basedOn w:val="DefaultParagraphFont"/>
    <w:uiPriority w:val="99"/>
    <w:semiHidden/>
    <w:unhideWhenUsed/>
    <w:rsid w:val="006E062F"/>
    <w:rPr>
      <w:color w:val="2B579A"/>
      <w:shd w:val="clear" w:color="auto" w:fill="E1DFDD"/>
    </w:rPr>
  </w:style>
  <w:style w:type="character" w:customStyle="1" w:styleId="Mention">
    <w:name w:val="Mention"/>
    <w:basedOn w:val="DefaultParagraphFont"/>
    <w:uiPriority w:val="99"/>
    <w:semiHidden/>
    <w:unhideWhenUsed/>
    <w:rsid w:val="006E062F"/>
    <w:rPr>
      <w:color w:val="2B579A"/>
      <w:shd w:val="clear" w:color="auto" w:fill="E1DFDD"/>
    </w:rPr>
  </w:style>
  <w:style w:type="character" w:customStyle="1" w:styleId="SmartHyperlink">
    <w:name w:val="Smart Hyperlink"/>
    <w:basedOn w:val="DefaultParagraphFont"/>
    <w:uiPriority w:val="99"/>
    <w:semiHidden/>
    <w:unhideWhenUsed/>
    <w:rsid w:val="006E062F"/>
    <w:rPr>
      <w:u w:val="dotted"/>
    </w:rPr>
  </w:style>
  <w:style w:type="paragraph" w:styleId="ListParagraph">
    <w:name w:val="List Paragraph"/>
    <w:basedOn w:val="Normal"/>
    <w:uiPriority w:val="34"/>
    <w:qFormat/>
    <w:rsid w:val="006E062F"/>
    <w:pPr>
      <w:ind w:left="720"/>
      <w:contextualSpacing/>
    </w:pPr>
  </w:style>
  <w:style w:type="paragraph" w:styleId="ListBullet">
    <w:name w:val="List Bullet"/>
    <w:basedOn w:val="Normal"/>
    <w:uiPriority w:val="99"/>
    <w:semiHidden/>
    <w:unhideWhenUsed/>
    <w:rsid w:val="006E062F"/>
    <w:pPr>
      <w:numPr>
        <w:numId w:val="11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6E062F"/>
    <w:pPr>
      <w:numPr>
        <w:numId w:val="12"/>
      </w:numPr>
      <w:contextualSpacing/>
    </w:pPr>
  </w:style>
  <w:style w:type="character" w:customStyle="1" w:styleId="SmartLink">
    <w:name w:val="Smart Link"/>
    <w:basedOn w:val="DefaultParagraphFont"/>
    <w:uiPriority w:val="99"/>
    <w:semiHidden/>
    <w:unhideWhenUsed/>
    <w:rsid w:val="006E062F"/>
    <w:rPr>
      <w:color w:val="0000FF"/>
      <w:u w:val="single"/>
      <w:shd w:val="clear" w:color="auto" w:fill="F3F2F1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E06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13" Type="http://schemas.openxmlformats.org/officeDocument/2006/relationships/footer" Target="footer2.xml" />
  <Relationship Id="rId3" Type="http://schemas.openxmlformats.org/officeDocument/2006/relationships/numbering" Target="numbering.xml" />
  <Relationship Id="rId7" Type="http://schemas.openxmlformats.org/officeDocument/2006/relationships/footnotes" Target="footnotes.xml" />
  <Relationship Id="rId12" Type="http://schemas.openxmlformats.org/officeDocument/2006/relationships/footer" Target="footer1.xml" />
  <Relationship Id="rId17" Type="http://schemas.openxmlformats.org/officeDocument/2006/relationships/theme" Target="theme/theme1.xml" />
  <Relationship Id="rId2" Type="http://schemas.openxmlformats.org/officeDocument/2006/relationships/customXml" Target="../customXml/item2.xml" />
  <Relationship Id="rId16" Type="http://schemas.openxmlformats.org/officeDocument/2006/relationships/fontTable" Target="fontTable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header" Target="header2.xml" />
  <Relationship Id="rId5" Type="http://schemas.openxmlformats.org/officeDocument/2006/relationships/settings" Target="settings.xml" />
  <Relationship Id="rId15" Type="http://schemas.openxmlformats.org/officeDocument/2006/relationships/footer" Target="footer3.xml" />
  <Relationship Id="rId10" Type="http://schemas.openxmlformats.org/officeDocument/2006/relationships/header" Target="header1.xml" />
  <Relationship Id="rId4" Type="http://schemas.openxmlformats.org/officeDocument/2006/relationships/styles" Target="styles.xml" />
  <Relationship Id="rId9" Type="http://schemas.openxmlformats.org/officeDocument/2006/relationships/hyperlink" Target="mailto:howard.fisher@oncor" TargetMode="External" />
  <Relationship Id="rId14" Type="http://schemas.openxmlformats.org/officeDocument/2006/relationships/header" Target="header3.xml" />
</Relationships>
</file>

<file path=word/_rels/settings.xml.rels>&#65279;<?xml version="1.0" encoding="UTF-8" standalone="yes"?>
<Relationships xmlns="http://schemas.openxmlformats.org/package/2006/relationships">
  <Relationship Id="rId1" Type="http://schemas.openxmlformats.org/officeDocument/2006/relationships/attachedTemplate" Target="file:///C:\Program%20Files%20(x86)\Microsoft%20Office\Templates\Firm%20Templates\Blank.dotx" TargetMode="Externa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 U S ! 8 1 9 4 7 1 5 . 1 < / d o c u m e n t i d >  
     < s e n d e r i d > 1 0 3 0 7 3 < / s e n d e r i d >  
     < s e n d e r e m a i l > W S K I N N E R @ V E L A W . C O M < / s e n d e r e m a i l >  
     < l a s t m o d i f i e d > 2 0 2 1 - 0 8 - 0 6 T 1 3 : 0 0 : 0 0 . 0 0 0 0 0 0 0 - 0 5 : 0 0 < / l a s t m o d i f i e d >  
     < d a t a b a s e > U S 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8E1E8-8F6D-4676-8F41-A3A92962A286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0B4B7537-A757-4ADC-AAE0-920AFBAE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1556</Words>
  <Characters>8548</Characters>
  <Application>Microsoft Office Word</Application>
  <DocSecurity>0</DocSecurity>
  <Lines>150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ype">
    <vt:lpwstr>pgBlank</vt:lpwstr>
  </property>
  <property fmtid="{D5CDD505-2E9C-101B-9397-08002B2CF9AE}" pid="3" name="DocumentNumber">
    <vt:lpwstr>8194715</vt:lpwstr>
  </property>
  <property fmtid="{D5CDD505-2E9C-101B-9397-08002B2CF9AE}" pid="4" name="DocumentVersion">
    <vt:lpwstr>1</vt:lpwstr>
  </property>
  <property fmtid="{D5CDD505-2E9C-101B-9397-08002B2CF9AE}" pid="5" name="ClientNumber">
    <vt:lpwstr>ONC500</vt:lpwstr>
  </property>
  <property fmtid="{D5CDD505-2E9C-101B-9397-08002B2CF9AE}" pid="6" name="MatterNumber">
    <vt:lpwstr>71004</vt:lpwstr>
  </property>
  <property fmtid="{D5CDD505-2E9C-101B-9397-08002B2CF9AE}" pid="7" name="ClientName">
    <vt:lpwstr>Oncor Electric Delivery Company</vt:lpwstr>
  </property>
  <property fmtid="{D5CDD505-2E9C-101B-9397-08002B2CF9AE}" pid="8" name="MatterName">
    <vt:lpwstr>Transmission Capital Project General</vt:lpwstr>
  </property>
  <property fmtid="{D5CDD505-2E9C-101B-9397-08002B2CF9AE}" pid="9" name="DatabaseName">
    <vt:lpwstr>US</vt:lpwstr>
  </property>
  <property fmtid="{D5CDD505-2E9C-101B-9397-08002B2CF9AE}" pid="10" name="TypistName">
    <vt:lpwstr>103073</vt:lpwstr>
  </property>
  <property fmtid="{D5CDD505-2E9C-101B-9397-08002B2CF9AE}" pid="11" name="AuthorName">
    <vt:lpwstr>103073</vt:lpwstr>
  </property>
  <property fmtid="{D5CDD505-2E9C-101B-9397-08002B2CF9AE}" pid="12" name="InUseBy">
    <vt:lpwstr>103073</vt:lpwstr>
  </property>
  <property fmtid="{D5CDD505-2E9C-101B-9397-08002B2CF9AE}" pid="13" name="EditDate">
    <vt:lpwstr>8/6/2021 12:41:26 AM</vt:lpwstr>
  </property>
  <property fmtid="{D5CDD505-2E9C-101B-9397-08002B2CF9AE}" pid="14" name="EditTime">
    <vt:lpwstr/>
  </property>
  <property fmtid="{D5CDD505-2E9C-101B-9397-08002B2CF9AE}" pid="15" name="DocID">
    <vt:lpwstr>US 8194715v.1</vt:lpwstr>
  </property>
</Properties>
</file>